
<file path=[Content_Types].xml><?xml version="1.0" encoding="utf-8"?>
<Types xmlns="http://schemas.openxmlformats.org/package/2006/content-types">
  <Default Extension="rels" ContentType="application/vnd.openxmlformats-package.relationships+xml"/>
  <Default Extension="xml" ContentType="application/xml"/>
  <Default Extension="21BD7C00"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6E20D762" w:rsidR="0082498B" w:rsidRDefault="00053B29" w:rsidP="008C7138">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 xml:space="preserve">the </w:t>
            </w:r>
            <w:r w:rsidR="008C7138">
              <w:rPr>
                <w:rFonts w:ascii="Arial"/>
                <w:sz w:val="24"/>
              </w:rPr>
              <w:t>Projects Director</w:t>
            </w:r>
          </w:p>
        </w:tc>
        <w:tc>
          <w:tcPr>
            <w:tcW w:w="4642" w:type="dxa"/>
          </w:tcPr>
          <w:p w14:paraId="2CEDDE19" w14:textId="1A6624FA" w:rsidR="0082498B" w:rsidRDefault="00053B29" w:rsidP="00CA5D99">
            <w:pPr>
              <w:pStyle w:val="TableParagraph"/>
              <w:spacing w:before="115"/>
              <w:ind w:left="2929"/>
              <w:rPr>
                <w:rFonts w:ascii="Arial"/>
                <w:sz w:val="24"/>
              </w:rPr>
            </w:pPr>
            <w:r>
              <w:rPr>
                <w:rFonts w:ascii="Arial"/>
                <w:sz w:val="24"/>
              </w:rPr>
              <w:t>2</w:t>
            </w:r>
            <w:r w:rsidR="00CA5D99">
              <w:rPr>
                <w:rFonts w:ascii="Arial"/>
                <w:sz w:val="24"/>
              </w:rPr>
              <w:t>4th</w:t>
            </w:r>
            <w:r w:rsidR="00057DE8">
              <w:rPr>
                <w:rFonts w:ascii="Arial"/>
                <w:sz w:val="24"/>
              </w:rPr>
              <w:t xml:space="preserve"> J</w:t>
            </w:r>
            <w:r w:rsidR="00CA5D99">
              <w:rPr>
                <w:rFonts w:ascii="Arial"/>
                <w:sz w:val="24"/>
              </w:rPr>
              <w:t>une</w:t>
            </w:r>
            <w:r>
              <w:rPr>
                <w:rFonts w:ascii="Arial"/>
                <w:spacing w:val="-2"/>
                <w:sz w:val="24"/>
              </w:rPr>
              <w:t xml:space="preserve"> </w:t>
            </w:r>
            <w:r>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3639A598" w:rsidR="0082498B" w:rsidRDefault="00053B29">
            <w:pPr>
              <w:pStyle w:val="TableParagraph"/>
              <w:spacing w:before="116"/>
              <w:ind w:left="112"/>
              <w:rPr>
                <w:rFonts w:ascii="Arial"/>
                <w:b/>
                <w:sz w:val="24"/>
              </w:rPr>
            </w:pPr>
            <w:r>
              <w:rPr>
                <w:rFonts w:ascii="Arial"/>
                <w:b/>
                <w:sz w:val="24"/>
              </w:rPr>
              <w:t>Projects</w:t>
            </w:r>
            <w:r>
              <w:rPr>
                <w:rFonts w:ascii="Arial"/>
                <w:b/>
                <w:spacing w:val="-5"/>
                <w:sz w:val="24"/>
              </w:rPr>
              <w:t xml:space="preserve"> </w:t>
            </w:r>
            <w:r w:rsidR="00DF59DD">
              <w:rPr>
                <w:rFonts w:ascii="Arial"/>
                <w:b/>
                <w:spacing w:val="-5"/>
                <w:sz w:val="24"/>
              </w:rPr>
              <w:t xml:space="preserve">and Circular Economy </w:t>
            </w:r>
            <w:r>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7449D0ED" w:rsidR="0082498B" w:rsidRDefault="003828A1" w:rsidP="003828A1">
            <w:pPr>
              <w:tabs>
                <w:tab w:val="left" w:pos="507"/>
              </w:tabs>
              <w:spacing w:before="93"/>
              <w:ind w:right="222"/>
              <w:rPr>
                <w:sz w:val="24"/>
              </w:rPr>
            </w:pPr>
            <w:r>
              <w:rPr>
                <w:sz w:val="24"/>
              </w:rPr>
              <w:tab/>
            </w:r>
            <w:r w:rsidR="00053B29" w:rsidRPr="003828A1">
              <w:rPr>
                <w:sz w:val="24"/>
              </w:rPr>
              <w:t>This report provides</w:t>
            </w:r>
            <w:r w:rsidRPr="003828A1">
              <w:rPr>
                <w:sz w:val="24"/>
              </w:rPr>
              <w:t xml:space="preserve"> </w:t>
            </w:r>
            <w:r>
              <w:rPr>
                <w:sz w:val="24"/>
              </w:rPr>
              <w:t xml:space="preserve">an update on the </w:t>
            </w:r>
            <w:r w:rsidR="0005472C">
              <w:rPr>
                <w:sz w:val="24"/>
              </w:rPr>
              <w:t>West London Waste Authority (</w:t>
            </w:r>
            <w:r>
              <w:rPr>
                <w:sz w:val="24"/>
              </w:rPr>
              <w:t>WLWA</w:t>
            </w:r>
            <w:r w:rsidR="0005472C">
              <w:rPr>
                <w:sz w:val="24"/>
              </w:rPr>
              <w:t>)</w:t>
            </w:r>
            <w:r>
              <w:rPr>
                <w:sz w:val="24"/>
              </w:rPr>
              <w:t xml:space="preserve"> projects.</w:t>
            </w:r>
          </w:p>
          <w:p w14:paraId="4EE0FD85" w14:textId="18A8E7D5" w:rsidR="00071EA5" w:rsidRDefault="00EC4F54" w:rsidP="00071EA5">
            <w:pPr>
              <w:pStyle w:val="ListParagraph"/>
              <w:numPr>
                <w:ilvl w:val="0"/>
                <w:numId w:val="11"/>
              </w:numPr>
              <w:tabs>
                <w:tab w:val="left" w:pos="507"/>
              </w:tabs>
              <w:spacing w:before="93"/>
              <w:ind w:left="1268" w:right="222"/>
              <w:rPr>
                <w:sz w:val="24"/>
              </w:rPr>
            </w:pPr>
            <w:r>
              <w:rPr>
                <w:sz w:val="24"/>
              </w:rPr>
              <w:t xml:space="preserve">The </w:t>
            </w:r>
            <w:r w:rsidR="001C6144">
              <w:rPr>
                <w:sz w:val="24"/>
              </w:rPr>
              <w:t xml:space="preserve">Food waste </w:t>
            </w:r>
            <w:r>
              <w:rPr>
                <w:sz w:val="24"/>
              </w:rPr>
              <w:t>inve</w:t>
            </w:r>
            <w:r w:rsidR="00D05ECC">
              <w:rPr>
                <w:sz w:val="24"/>
              </w:rPr>
              <w:t>stment projects are</w:t>
            </w:r>
            <w:r>
              <w:rPr>
                <w:sz w:val="24"/>
              </w:rPr>
              <w:t xml:space="preserve"> capturing</w:t>
            </w:r>
            <w:r w:rsidR="001C6144">
              <w:rPr>
                <w:sz w:val="24"/>
              </w:rPr>
              <w:t xml:space="preserve"> </w:t>
            </w:r>
            <w:r w:rsidR="00D05ECC">
              <w:rPr>
                <w:sz w:val="24"/>
              </w:rPr>
              <w:t xml:space="preserve">more </w:t>
            </w:r>
            <w:r>
              <w:rPr>
                <w:sz w:val="24"/>
              </w:rPr>
              <w:t xml:space="preserve">food waste for recycling </w:t>
            </w:r>
            <w:r w:rsidR="001C6144">
              <w:rPr>
                <w:sz w:val="24"/>
              </w:rPr>
              <w:t>from residual waste</w:t>
            </w:r>
            <w:r>
              <w:rPr>
                <w:sz w:val="24"/>
              </w:rPr>
              <w:t xml:space="preserve"> through</w:t>
            </w:r>
            <w:r w:rsidR="00D05ECC">
              <w:rPr>
                <w:sz w:val="24"/>
              </w:rPr>
              <w:t xml:space="preserve"> the delivery of</w:t>
            </w:r>
            <w:r>
              <w:rPr>
                <w:sz w:val="24"/>
              </w:rPr>
              <w:t xml:space="preserve"> Borough specific business cases.</w:t>
            </w:r>
          </w:p>
          <w:p w14:paraId="7293A160" w14:textId="23D36C26" w:rsidR="001C6144" w:rsidRDefault="001C6144" w:rsidP="00071EA5">
            <w:pPr>
              <w:pStyle w:val="ListParagraph"/>
              <w:numPr>
                <w:ilvl w:val="0"/>
                <w:numId w:val="11"/>
              </w:numPr>
              <w:tabs>
                <w:tab w:val="left" w:pos="507"/>
              </w:tabs>
              <w:spacing w:before="93"/>
              <w:ind w:left="1268" w:right="222"/>
              <w:rPr>
                <w:sz w:val="24"/>
              </w:rPr>
            </w:pPr>
            <w:r>
              <w:rPr>
                <w:sz w:val="24"/>
              </w:rPr>
              <w:t>Residual waste composition analysis</w:t>
            </w:r>
            <w:r w:rsidR="00EC4F54">
              <w:rPr>
                <w:sz w:val="24"/>
              </w:rPr>
              <w:t xml:space="preserve"> is</w:t>
            </w:r>
            <w:r>
              <w:rPr>
                <w:sz w:val="24"/>
              </w:rPr>
              <w:t xml:space="preserve"> due in September</w:t>
            </w:r>
            <w:r w:rsidR="00EC4F54">
              <w:rPr>
                <w:sz w:val="24"/>
              </w:rPr>
              <w:t xml:space="preserve"> to establish what</w:t>
            </w:r>
            <w:r w:rsidR="00D05ECC">
              <w:rPr>
                <w:sz w:val="24"/>
              </w:rPr>
              <w:t xml:space="preserve"> is</w:t>
            </w:r>
            <w:r w:rsidR="00EC4F54">
              <w:rPr>
                <w:sz w:val="24"/>
              </w:rPr>
              <w:t xml:space="preserve"> remaining in the waste </w:t>
            </w:r>
            <w:r w:rsidR="00D05ECC">
              <w:rPr>
                <w:sz w:val="24"/>
              </w:rPr>
              <w:t xml:space="preserve">and </w:t>
            </w:r>
            <w:r w:rsidR="00EC4F54">
              <w:rPr>
                <w:sz w:val="24"/>
              </w:rPr>
              <w:t>to identify trends and usage of recycling services.</w:t>
            </w:r>
          </w:p>
          <w:p w14:paraId="70C72678" w14:textId="1F9669CB" w:rsidR="001C6144" w:rsidRDefault="00EC4F54" w:rsidP="00071EA5">
            <w:pPr>
              <w:pStyle w:val="ListParagraph"/>
              <w:numPr>
                <w:ilvl w:val="0"/>
                <w:numId w:val="11"/>
              </w:numPr>
              <w:tabs>
                <w:tab w:val="left" w:pos="507"/>
              </w:tabs>
              <w:spacing w:before="93"/>
              <w:ind w:left="1268" w:right="222"/>
              <w:rPr>
                <w:sz w:val="24"/>
              </w:rPr>
            </w:pPr>
            <w:r>
              <w:rPr>
                <w:sz w:val="24"/>
              </w:rPr>
              <w:t>WLWA have started new r</w:t>
            </w:r>
            <w:r w:rsidR="001C6144">
              <w:rPr>
                <w:sz w:val="24"/>
              </w:rPr>
              <w:t xml:space="preserve">epair and reuse workshops </w:t>
            </w:r>
            <w:r>
              <w:rPr>
                <w:sz w:val="24"/>
              </w:rPr>
              <w:t>at the Abbey Road si</w:t>
            </w:r>
            <w:r w:rsidR="00D05ECC">
              <w:rPr>
                <w:sz w:val="24"/>
              </w:rPr>
              <w:t>te to divert material from waste and develop green skills</w:t>
            </w:r>
            <w:r>
              <w:rPr>
                <w:sz w:val="24"/>
              </w:rPr>
              <w:t>.</w:t>
            </w:r>
          </w:p>
          <w:p w14:paraId="3B06FA67" w14:textId="68654EDC" w:rsidR="001C6144" w:rsidRDefault="001C6144" w:rsidP="00071EA5">
            <w:pPr>
              <w:pStyle w:val="ListParagraph"/>
              <w:numPr>
                <w:ilvl w:val="0"/>
                <w:numId w:val="11"/>
              </w:numPr>
              <w:tabs>
                <w:tab w:val="left" w:pos="507"/>
              </w:tabs>
              <w:spacing w:before="93"/>
              <w:ind w:left="1268" w:right="222"/>
              <w:rPr>
                <w:sz w:val="24"/>
              </w:rPr>
            </w:pPr>
            <w:r>
              <w:rPr>
                <w:sz w:val="24"/>
              </w:rPr>
              <w:t>Solar p</w:t>
            </w:r>
            <w:r w:rsidR="00D712C2">
              <w:rPr>
                <w:sz w:val="24"/>
              </w:rPr>
              <w:t>anels</w:t>
            </w:r>
            <w:r>
              <w:rPr>
                <w:sz w:val="24"/>
              </w:rPr>
              <w:t xml:space="preserve"> </w:t>
            </w:r>
            <w:r w:rsidR="00D05ECC">
              <w:rPr>
                <w:sz w:val="24"/>
              </w:rPr>
              <w:t>are being</w:t>
            </w:r>
            <w:r>
              <w:rPr>
                <w:sz w:val="24"/>
              </w:rPr>
              <w:t xml:space="preserve"> installed on Abbey Road site</w:t>
            </w:r>
            <w:r w:rsidR="00EC4F54">
              <w:rPr>
                <w:sz w:val="24"/>
              </w:rPr>
              <w:t xml:space="preserve"> to reduce energy cost</w:t>
            </w:r>
            <w:r w:rsidR="00D05ECC">
              <w:rPr>
                <w:sz w:val="24"/>
              </w:rPr>
              <w:t>s</w:t>
            </w:r>
            <w:r w:rsidR="00EC4F54">
              <w:rPr>
                <w:sz w:val="24"/>
              </w:rPr>
              <w:t xml:space="preserve"> and increase the renewable energy generation.</w:t>
            </w:r>
          </w:p>
          <w:p w14:paraId="077C66B9" w14:textId="4B4952A2" w:rsidR="001C6144" w:rsidRPr="00071EA5" w:rsidRDefault="00EC4F54" w:rsidP="00071EA5">
            <w:pPr>
              <w:pStyle w:val="ListParagraph"/>
              <w:numPr>
                <w:ilvl w:val="0"/>
                <w:numId w:val="11"/>
              </w:numPr>
              <w:tabs>
                <w:tab w:val="left" w:pos="507"/>
              </w:tabs>
              <w:spacing w:before="93"/>
              <w:ind w:left="1268" w:right="222"/>
              <w:rPr>
                <w:sz w:val="24"/>
              </w:rPr>
            </w:pPr>
            <w:r>
              <w:rPr>
                <w:sz w:val="24"/>
              </w:rPr>
              <w:t>A n</w:t>
            </w:r>
            <w:r w:rsidR="00D712C2">
              <w:rPr>
                <w:sz w:val="24"/>
              </w:rPr>
              <w:t xml:space="preserve">ew </w:t>
            </w:r>
            <w:r w:rsidR="001C6144">
              <w:rPr>
                <w:sz w:val="24"/>
              </w:rPr>
              <w:t xml:space="preserve">WLWA website </w:t>
            </w:r>
            <w:r>
              <w:rPr>
                <w:sz w:val="24"/>
              </w:rPr>
              <w:t xml:space="preserve">is being </w:t>
            </w:r>
            <w:r w:rsidR="001C6144">
              <w:rPr>
                <w:sz w:val="24"/>
              </w:rPr>
              <w:t>launch</w:t>
            </w:r>
            <w:r>
              <w:rPr>
                <w:sz w:val="24"/>
              </w:rPr>
              <w:t>ed in June to help with resident communicati</w:t>
            </w:r>
            <w:r w:rsidR="00D05ECC">
              <w:rPr>
                <w:sz w:val="24"/>
              </w:rPr>
              <w:t>ons and improve</w:t>
            </w:r>
            <w:r>
              <w:rPr>
                <w:sz w:val="24"/>
              </w:rPr>
              <w:t xml:space="preserve"> access to</w:t>
            </w:r>
            <w:r w:rsidR="00D05ECC">
              <w:rPr>
                <w:sz w:val="24"/>
              </w:rPr>
              <w:t xml:space="preserve"> sustainability and waste</w:t>
            </w:r>
            <w:r>
              <w:rPr>
                <w:sz w:val="24"/>
              </w:rPr>
              <w:t xml:space="preserve"> </w:t>
            </w:r>
            <w:r w:rsidR="00D05ECC">
              <w:rPr>
                <w:sz w:val="24"/>
              </w:rPr>
              <w:t>information and resources.</w:t>
            </w:r>
            <w:r w:rsidR="001C6144">
              <w:rPr>
                <w:sz w:val="24"/>
              </w:rPr>
              <w:t xml:space="preserve"> </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0B18A7B1" w14:textId="77777777"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Pr>
                <w:rFonts w:ascii="Arial"/>
                <w:i/>
                <w:spacing w:val="1"/>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76DBDB38" w14:textId="2F4EA488" w:rsidR="00087CF9" w:rsidRPr="00660612" w:rsidRDefault="00053B29" w:rsidP="00E90694">
      <w:pPr>
        <w:pStyle w:val="ListParagraph"/>
        <w:tabs>
          <w:tab w:val="left" w:pos="507"/>
        </w:tabs>
        <w:spacing w:before="93"/>
        <w:ind w:left="360" w:right="222" w:firstLine="0"/>
        <w:rPr>
          <w:sz w:val="24"/>
        </w:rPr>
      </w:pPr>
      <w:r w:rsidRPr="00660612">
        <w:rPr>
          <w:sz w:val="24"/>
        </w:rPr>
        <w:t>This report covers the main project updates</w:t>
      </w:r>
      <w:r w:rsidR="00D712C2">
        <w:rPr>
          <w:sz w:val="24"/>
        </w:rPr>
        <w:t>,</w:t>
      </w:r>
      <w:r w:rsidRPr="00660612">
        <w:rPr>
          <w:sz w:val="24"/>
        </w:rPr>
        <w:t xml:space="preserve"> governance of the wider programme </w:t>
      </w:r>
      <w:r w:rsidR="00D712C2">
        <w:rPr>
          <w:sz w:val="24"/>
        </w:rPr>
        <w:t xml:space="preserve">is </w:t>
      </w:r>
      <w:r w:rsidRPr="00660612">
        <w:rPr>
          <w:sz w:val="24"/>
        </w:rPr>
        <w:t xml:space="preserve">managed through the WLWA senior </w:t>
      </w:r>
      <w:r w:rsidR="00E0665A">
        <w:rPr>
          <w:sz w:val="24"/>
        </w:rPr>
        <w:t>leadership</w:t>
      </w:r>
      <w:r w:rsidRPr="00660612">
        <w:rPr>
          <w:sz w:val="24"/>
        </w:rPr>
        <w:t xml:space="preserve"> team.</w:t>
      </w:r>
      <w:r w:rsidR="00087CF9" w:rsidRPr="00660612">
        <w:rPr>
          <w:sz w:val="24"/>
        </w:rPr>
        <w:t xml:space="preserve"> </w:t>
      </w:r>
    </w:p>
    <w:p w14:paraId="259A445E" w14:textId="2A3D85B8" w:rsidR="00087CF9" w:rsidRPr="00660612" w:rsidRDefault="00087CF9" w:rsidP="00660612">
      <w:pPr>
        <w:pStyle w:val="ListParagraph"/>
        <w:tabs>
          <w:tab w:val="left" w:pos="507"/>
        </w:tabs>
        <w:spacing w:before="93"/>
        <w:ind w:left="360" w:right="222" w:firstLine="0"/>
        <w:rPr>
          <w:sz w:val="24"/>
        </w:rPr>
      </w:pPr>
    </w:p>
    <w:p w14:paraId="153FA6D5" w14:textId="579647B6" w:rsidR="00087CF9" w:rsidRPr="001B72B7" w:rsidRDefault="00087CF9" w:rsidP="00087CF9">
      <w:pPr>
        <w:pStyle w:val="ListParagraph"/>
        <w:numPr>
          <w:ilvl w:val="0"/>
          <w:numId w:val="4"/>
        </w:numPr>
        <w:tabs>
          <w:tab w:val="left" w:pos="507"/>
        </w:tabs>
        <w:spacing w:before="93"/>
        <w:ind w:right="222" w:hanging="171"/>
        <w:rPr>
          <w:sz w:val="24"/>
        </w:rPr>
      </w:pPr>
      <w:r w:rsidRPr="00087CF9">
        <w:rPr>
          <w:b/>
          <w:sz w:val="24"/>
        </w:rPr>
        <w:t xml:space="preserve">Project </w:t>
      </w:r>
      <w:r w:rsidR="001B72B7">
        <w:rPr>
          <w:b/>
          <w:sz w:val="24"/>
        </w:rPr>
        <w:t>D</w:t>
      </w:r>
      <w:r w:rsidRPr="00087CF9">
        <w:rPr>
          <w:b/>
          <w:sz w:val="24"/>
        </w:rPr>
        <w:t>evelopment</w:t>
      </w:r>
    </w:p>
    <w:p w14:paraId="70F5BCEF" w14:textId="4E8B2BD6" w:rsidR="00E0665A" w:rsidRDefault="001B72B7" w:rsidP="00E0665A">
      <w:pPr>
        <w:pStyle w:val="ListParagraph"/>
        <w:tabs>
          <w:tab w:val="left" w:pos="507"/>
        </w:tabs>
        <w:spacing w:before="93"/>
        <w:ind w:right="222"/>
        <w:rPr>
          <w:bCs/>
          <w:sz w:val="24"/>
        </w:rPr>
      </w:pPr>
      <w:r>
        <w:rPr>
          <w:bCs/>
          <w:sz w:val="24"/>
        </w:rPr>
        <w:tab/>
      </w:r>
      <w:r w:rsidR="00D712C2">
        <w:rPr>
          <w:bCs/>
          <w:sz w:val="24"/>
        </w:rPr>
        <w:t>There are</w:t>
      </w:r>
      <w:r w:rsidR="00087CF9">
        <w:rPr>
          <w:bCs/>
          <w:sz w:val="24"/>
        </w:rPr>
        <w:t xml:space="preserve"> six key areas</w:t>
      </w:r>
      <w:r w:rsidR="00D712C2">
        <w:rPr>
          <w:bCs/>
          <w:sz w:val="24"/>
        </w:rPr>
        <w:t xml:space="preserve"> of WLWA’s project programme</w:t>
      </w:r>
      <w:r w:rsidR="00E0665A">
        <w:rPr>
          <w:bCs/>
          <w:sz w:val="24"/>
        </w:rPr>
        <w:t xml:space="preserve"> (Data Management, </w:t>
      </w:r>
      <w:r w:rsidR="00E0665A" w:rsidRPr="00E0665A">
        <w:rPr>
          <w:bCs/>
          <w:sz w:val="24"/>
        </w:rPr>
        <w:t>Smart Cities</w:t>
      </w:r>
      <w:r w:rsidR="00E0665A">
        <w:rPr>
          <w:bCs/>
          <w:sz w:val="24"/>
        </w:rPr>
        <w:t xml:space="preserve">, </w:t>
      </w:r>
      <w:r w:rsidR="0005472C">
        <w:rPr>
          <w:bCs/>
          <w:sz w:val="24"/>
        </w:rPr>
        <w:t>Household Reuse and Recycling Centre (</w:t>
      </w:r>
      <w:r w:rsidR="00E0665A" w:rsidRPr="00E0665A">
        <w:rPr>
          <w:bCs/>
          <w:sz w:val="24"/>
        </w:rPr>
        <w:t>HRRC</w:t>
      </w:r>
      <w:r w:rsidR="0005472C">
        <w:rPr>
          <w:bCs/>
          <w:sz w:val="24"/>
        </w:rPr>
        <w:t>)</w:t>
      </w:r>
      <w:r w:rsidR="00E0665A" w:rsidRPr="00E0665A">
        <w:rPr>
          <w:bCs/>
          <w:sz w:val="24"/>
        </w:rPr>
        <w:t xml:space="preserve"> transformation</w:t>
      </w:r>
      <w:r w:rsidR="00E0665A">
        <w:rPr>
          <w:bCs/>
          <w:sz w:val="24"/>
        </w:rPr>
        <w:t xml:space="preserve">, </w:t>
      </w:r>
      <w:r w:rsidR="00E0665A" w:rsidRPr="00E0665A">
        <w:rPr>
          <w:bCs/>
          <w:sz w:val="24"/>
        </w:rPr>
        <w:t>Food Waste</w:t>
      </w:r>
      <w:r w:rsidR="00E0665A">
        <w:rPr>
          <w:bCs/>
          <w:sz w:val="24"/>
        </w:rPr>
        <w:t xml:space="preserve">, </w:t>
      </w:r>
      <w:r w:rsidR="00E0665A" w:rsidRPr="00E0665A">
        <w:rPr>
          <w:bCs/>
          <w:sz w:val="24"/>
        </w:rPr>
        <w:t>Shared</w:t>
      </w:r>
      <w:r w:rsidR="00033AC4">
        <w:rPr>
          <w:bCs/>
          <w:sz w:val="24"/>
        </w:rPr>
        <w:t xml:space="preserve"> Extended Producer Responsibility</w:t>
      </w:r>
      <w:r w:rsidR="00E0665A" w:rsidRPr="00E0665A">
        <w:rPr>
          <w:bCs/>
          <w:sz w:val="24"/>
        </w:rPr>
        <w:t xml:space="preserve"> </w:t>
      </w:r>
      <w:r w:rsidR="00033AC4">
        <w:rPr>
          <w:bCs/>
          <w:sz w:val="24"/>
        </w:rPr>
        <w:t>(</w:t>
      </w:r>
      <w:r w:rsidR="00E0665A" w:rsidRPr="00E0665A">
        <w:rPr>
          <w:bCs/>
          <w:sz w:val="24"/>
        </w:rPr>
        <w:t>EPR</w:t>
      </w:r>
      <w:r w:rsidR="00033AC4">
        <w:rPr>
          <w:bCs/>
          <w:sz w:val="24"/>
        </w:rPr>
        <w:t>)</w:t>
      </w:r>
      <w:r w:rsidR="00E0665A" w:rsidRPr="00E0665A">
        <w:rPr>
          <w:bCs/>
          <w:sz w:val="24"/>
        </w:rPr>
        <w:t xml:space="preserve"> funding plan</w:t>
      </w:r>
      <w:r w:rsidR="00E0665A">
        <w:rPr>
          <w:bCs/>
          <w:sz w:val="24"/>
        </w:rPr>
        <w:t xml:space="preserve">, </w:t>
      </w:r>
      <w:r w:rsidR="00E0665A" w:rsidRPr="00E0665A">
        <w:rPr>
          <w:bCs/>
          <w:sz w:val="24"/>
        </w:rPr>
        <w:t xml:space="preserve">Double Recycling </w:t>
      </w:r>
      <w:r w:rsidR="0005472C">
        <w:rPr>
          <w:bCs/>
          <w:sz w:val="24"/>
        </w:rPr>
        <w:t>I</w:t>
      </w:r>
      <w:r w:rsidR="00E0665A" w:rsidRPr="00E0665A">
        <w:rPr>
          <w:bCs/>
          <w:sz w:val="24"/>
        </w:rPr>
        <w:t>nfrastructure</w:t>
      </w:r>
      <w:r w:rsidR="00E0665A">
        <w:rPr>
          <w:bCs/>
          <w:sz w:val="24"/>
        </w:rPr>
        <w:t>)</w:t>
      </w:r>
      <w:r w:rsidR="00087CF9">
        <w:rPr>
          <w:bCs/>
          <w:sz w:val="24"/>
        </w:rPr>
        <w:t xml:space="preserve"> each with an Environment Director and Member lead</w:t>
      </w:r>
      <w:r w:rsidR="00E0665A">
        <w:rPr>
          <w:bCs/>
          <w:sz w:val="24"/>
        </w:rPr>
        <w:t xml:space="preserve">.  </w:t>
      </w:r>
      <w:r w:rsidR="00087CF9">
        <w:rPr>
          <w:bCs/>
          <w:sz w:val="24"/>
        </w:rPr>
        <w:t xml:space="preserve">Policies </w:t>
      </w:r>
      <w:r w:rsidR="00D712C2">
        <w:rPr>
          <w:bCs/>
          <w:sz w:val="24"/>
        </w:rPr>
        <w:t>for each of these six areas were</w:t>
      </w:r>
      <w:r w:rsidR="004E048A">
        <w:rPr>
          <w:bCs/>
          <w:sz w:val="24"/>
        </w:rPr>
        <w:t xml:space="preserve"> jointly developed </w:t>
      </w:r>
      <w:r w:rsidR="00E85EF8">
        <w:rPr>
          <w:bCs/>
          <w:sz w:val="24"/>
        </w:rPr>
        <w:t xml:space="preserve">and approved </w:t>
      </w:r>
      <w:r w:rsidR="00D712C2">
        <w:rPr>
          <w:bCs/>
          <w:sz w:val="24"/>
        </w:rPr>
        <w:t xml:space="preserve">by the Authority </w:t>
      </w:r>
      <w:r w:rsidR="00E85EF8">
        <w:rPr>
          <w:bCs/>
          <w:sz w:val="24"/>
        </w:rPr>
        <w:t xml:space="preserve">in March 22 </w:t>
      </w:r>
      <w:r w:rsidR="004E048A">
        <w:rPr>
          <w:bCs/>
          <w:sz w:val="24"/>
        </w:rPr>
        <w:t xml:space="preserve">to deliver a unified approach to whole system change. </w:t>
      </w:r>
    </w:p>
    <w:p w14:paraId="1646ED1B" w14:textId="77777777" w:rsidR="00E0665A" w:rsidRDefault="00E0665A" w:rsidP="00E0665A">
      <w:pPr>
        <w:pStyle w:val="ListParagraph"/>
        <w:tabs>
          <w:tab w:val="left" w:pos="507"/>
        </w:tabs>
        <w:spacing w:before="93"/>
        <w:ind w:right="222"/>
        <w:rPr>
          <w:bCs/>
          <w:sz w:val="24"/>
        </w:rPr>
      </w:pPr>
    </w:p>
    <w:p w14:paraId="541CABE2" w14:textId="710C5D57" w:rsidR="0082498B" w:rsidRDefault="00053B29" w:rsidP="00E0665A">
      <w:pPr>
        <w:pStyle w:val="ListParagraph"/>
        <w:numPr>
          <w:ilvl w:val="1"/>
          <w:numId w:val="4"/>
        </w:numPr>
        <w:tabs>
          <w:tab w:val="left" w:pos="507"/>
        </w:tabs>
        <w:spacing w:before="93"/>
        <w:ind w:right="222"/>
        <w:rPr>
          <w:sz w:val="24"/>
        </w:rPr>
      </w:pPr>
      <w:r>
        <w:rPr>
          <w:b/>
          <w:sz w:val="24"/>
        </w:rPr>
        <w:t>Food</w:t>
      </w:r>
      <w:r>
        <w:rPr>
          <w:b/>
          <w:spacing w:val="-3"/>
          <w:sz w:val="24"/>
        </w:rPr>
        <w:t xml:space="preserve"> </w:t>
      </w:r>
      <w:r>
        <w:rPr>
          <w:b/>
          <w:sz w:val="24"/>
        </w:rPr>
        <w:t>Waste</w:t>
      </w:r>
      <w:r>
        <w:rPr>
          <w:b/>
          <w:spacing w:val="-2"/>
          <w:sz w:val="24"/>
        </w:rPr>
        <w:t xml:space="preserve"> </w:t>
      </w:r>
    </w:p>
    <w:p w14:paraId="089202B1" w14:textId="0E28F84D" w:rsidR="00E669C1" w:rsidRDefault="00631F90" w:rsidP="00E669C1">
      <w:pPr>
        <w:tabs>
          <w:tab w:val="left" w:pos="507"/>
        </w:tabs>
        <w:ind w:left="507"/>
        <w:rPr>
          <w:sz w:val="24"/>
        </w:rPr>
      </w:pPr>
      <w:r>
        <w:rPr>
          <w:sz w:val="24"/>
        </w:rPr>
        <w:t xml:space="preserve">The food waste investment project was initially designed to incentivise an increase in food waste </w:t>
      </w:r>
      <w:r w:rsidR="00D712C2">
        <w:rPr>
          <w:sz w:val="24"/>
        </w:rPr>
        <w:t>being removed from the general waste collection,</w:t>
      </w:r>
      <w:r>
        <w:rPr>
          <w:sz w:val="24"/>
        </w:rPr>
        <w:t xml:space="preserve"> with a target of doubling food waste collected in three years. Boroughs identified capital costs to be a hurdle for the expansion of the services and the funding was changed to provide an upfront investment of £500k for Boroughs</w:t>
      </w:r>
      <w:r w:rsidR="00D712C2">
        <w:rPr>
          <w:sz w:val="24"/>
        </w:rPr>
        <w:t xml:space="preserve"> to deliver</w:t>
      </w:r>
      <w:r>
        <w:rPr>
          <w:sz w:val="24"/>
        </w:rPr>
        <w:t xml:space="preserve"> </w:t>
      </w:r>
      <w:r w:rsidR="00E172CA">
        <w:rPr>
          <w:sz w:val="24"/>
        </w:rPr>
        <w:t xml:space="preserve">service development </w:t>
      </w:r>
      <w:r>
        <w:rPr>
          <w:sz w:val="24"/>
        </w:rPr>
        <w:t>project initiatives</w:t>
      </w:r>
      <w:r w:rsidR="00A050A2">
        <w:rPr>
          <w:sz w:val="24"/>
        </w:rPr>
        <w:t xml:space="preserve"> </w:t>
      </w:r>
      <w:r w:rsidR="00D712C2">
        <w:rPr>
          <w:sz w:val="24"/>
        </w:rPr>
        <w:t xml:space="preserve">which would </w:t>
      </w:r>
      <w:r w:rsidR="00A050A2">
        <w:rPr>
          <w:sz w:val="24"/>
        </w:rPr>
        <w:t>generate a return on investment through the</w:t>
      </w:r>
      <w:r w:rsidR="00B701F1">
        <w:rPr>
          <w:sz w:val="24"/>
        </w:rPr>
        <w:t xml:space="preserve"> food waste </w:t>
      </w:r>
      <w:r w:rsidR="00A050A2">
        <w:rPr>
          <w:sz w:val="24"/>
        </w:rPr>
        <w:t>system i</w:t>
      </w:r>
      <w:r w:rsidR="00D712C2">
        <w:rPr>
          <w:sz w:val="24"/>
        </w:rPr>
        <w:t>.</w:t>
      </w:r>
      <w:r w:rsidR="00A050A2">
        <w:rPr>
          <w:sz w:val="24"/>
        </w:rPr>
        <w:t>e.</w:t>
      </w:r>
      <w:r w:rsidR="001844B4">
        <w:rPr>
          <w:sz w:val="24"/>
        </w:rPr>
        <w:t xml:space="preserve"> </w:t>
      </w:r>
      <w:r w:rsidR="00D712C2">
        <w:rPr>
          <w:sz w:val="24"/>
        </w:rPr>
        <w:t>collecting more of the food that</w:t>
      </w:r>
      <w:r w:rsidR="00E172CA">
        <w:rPr>
          <w:sz w:val="24"/>
        </w:rPr>
        <w:t xml:space="preserve"> had been thrown in the general</w:t>
      </w:r>
      <w:r w:rsidR="00D712C2">
        <w:rPr>
          <w:sz w:val="24"/>
        </w:rPr>
        <w:t xml:space="preserve"> waste stream </w:t>
      </w:r>
      <w:r w:rsidR="00E172CA">
        <w:rPr>
          <w:sz w:val="24"/>
        </w:rPr>
        <w:t xml:space="preserve">within the food collection service </w:t>
      </w:r>
      <w:r w:rsidR="00B701F1">
        <w:rPr>
          <w:sz w:val="24"/>
        </w:rPr>
        <w:t>within 3 years</w:t>
      </w:r>
      <w:r w:rsidR="00E172CA">
        <w:rPr>
          <w:sz w:val="24"/>
        </w:rPr>
        <w:t xml:space="preserve"> of the funding being received</w:t>
      </w:r>
      <w:r w:rsidR="00B701F1">
        <w:rPr>
          <w:sz w:val="24"/>
        </w:rPr>
        <w:t xml:space="preserve">. </w:t>
      </w:r>
      <w:r w:rsidR="00E0665A">
        <w:rPr>
          <w:sz w:val="24"/>
        </w:rPr>
        <w:t xml:space="preserve"> </w:t>
      </w:r>
    </w:p>
    <w:p w14:paraId="502334C4" w14:textId="77777777" w:rsidR="00E669C1" w:rsidRDefault="00E669C1" w:rsidP="00E669C1">
      <w:pPr>
        <w:tabs>
          <w:tab w:val="left" w:pos="507"/>
        </w:tabs>
        <w:ind w:left="507"/>
        <w:rPr>
          <w:sz w:val="24"/>
        </w:rPr>
      </w:pPr>
    </w:p>
    <w:p w14:paraId="7B737163" w14:textId="2E61C9EA" w:rsidR="00E669C1" w:rsidRDefault="00F26A6C" w:rsidP="00E669C1">
      <w:pPr>
        <w:tabs>
          <w:tab w:val="left" w:pos="507"/>
        </w:tabs>
        <w:ind w:left="507"/>
        <w:rPr>
          <w:sz w:val="24"/>
        </w:rPr>
      </w:pPr>
      <w:r>
        <w:rPr>
          <w:sz w:val="24"/>
        </w:rPr>
        <w:t>WLWA P</w:t>
      </w:r>
      <w:r w:rsidR="00DB2CF1">
        <w:rPr>
          <w:sz w:val="24"/>
        </w:rPr>
        <w:t xml:space="preserve">roject </w:t>
      </w:r>
      <w:r>
        <w:rPr>
          <w:sz w:val="24"/>
        </w:rPr>
        <w:t>Managers</w:t>
      </w:r>
      <w:r w:rsidR="00DB2CF1">
        <w:rPr>
          <w:sz w:val="24"/>
        </w:rPr>
        <w:t xml:space="preserve"> are </w:t>
      </w:r>
      <w:r w:rsidR="00E261E4">
        <w:rPr>
          <w:sz w:val="24"/>
        </w:rPr>
        <w:t xml:space="preserve">continuing to </w:t>
      </w:r>
      <w:r w:rsidR="00DB2CF1">
        <w:rPr>
          <w:sz w:val="24"/>
        </w:rPr>
        <w:t xml:space="preserve">work with </w:t>
      </w:r>
      <w:r w:rsidR="00E261E4">
        <w:rPr>
          <w:sz w:val="24"/>
        </w:rPr>
        <w:t xml:space="preserve">all </w:t>
      </w:r>
      <w:r w:rsidR="00DC32F0">
        <w:rPr>
          <w:sz w:val="24"/>
        </w:rPr>
        <w:t>Boroughs to assist with</w:t>
      </w:r>
      <w:r w:rsidR="00DB2CF1">
        <w:rPr>
          <w:sz w:val="24"/>
        </w:rPr>
        <w:t xml:space="preserve"> deliver</w:t>
      </w:r>
      <w:r w:rsidR="00DC32F0">
        <w:rPr>
          <w:sz w:val="24"/>
        </w:rPr>
        <w:t>y</w:t>
      </w:r>
      <w:r w:rsidR="00DB2CF1">
        <w:rPr>
          <w:sz w:val="24"/>
        </w:rPr>
        <w:t xml:space="preserve"> </w:t>
      </w:r>
      <w:r w:rsidR="00DC32F0">
        <w:rPr>
          <w:sz w:val="24"/>
        </w:rPr>
        <w:t xml:space="preserve">of </w:t>
      </w:r>
      <w:r w:rsidR="00DB2CF1">
        <w:rPr>
          <w:sz w:val="24"/>
        </w:rPr>
        <w:t xml:space="preserve">the </w:t>
      </w:r>
      <w:r w:rsidR="00E261E4">
        <w:rPr>
          <w:sz w:val="24"/>
        </w:rPr>
        <w:t xml:space="preserve">food recycling projects.  </w:t>
      </w:r>
      <w:r w:rsidR="00A050A2">
        <w:rPr>
          <w:sz w:val="24"/>
        </w:rPr>
        <w:t xml:space="preserve">Specific Borough project updates will be presented at the September </w:t>
      </w:r>
      <w:r w:rsidR="00A050A2">
        <w:rPr>
          <w:sz w:val="24"/>
        </w:rPr>
        <w:lastRenderedPageBreak/>
        <w:t>meeting and a capture rate study brought to the December meeting incorporating the waste composition analysis as detailed in 2.3 below.</w:t>
      </w:r>
    </w:p>
    <w:p w14:paraId="0C3B836D" w14:textId="77777777" w:rsidR="00E669C1" w:rsidRDefault="00E669C1" w:rsidP="00E669C1">
      <w:pPr>
        <w:tabs>
          <w:tab w:val="left" w:pos="507"/>
        </w:tabs>
        <w:ind w:left="507"/>
        <w:rPr>
          <w:sz w:val="24"/>
        </w:rPr>
      </w:pPr>
    </w:p>
    <w:p w14:paraId="5ECFCC8D" w14:textId="79750A5A" w:rsidR="00E669C1" w:rsidRDefault="0060215A" w:rsidP="00E669C1">
      <w:pPr>
        <w:tabs>
          <w:tab w:val="left" w:pos="507"/>
        </w:tabs>
        <w:ind w:left="507"/>
        <w:rPr>
          <w:sz w:val="24"/>
        </w:rPr>
      </w:pPr>
      <w:r>
        <w:rPr>
          <w:sz w:val="24"/>
        </w:rPr>
        <w:t xml:space="preserve">Food waste </w:t>
      </w:r>
      <w:r w:rsidR="00E669C1">
        <w:rPr>
          <w:sz w:val="24"/>
        </w:rPr>
        <w:t xml:space="preserve">measures including </w:t>
      </w:r>
      <w:r>
        <w:rPr>
          <w:sz w:val="24"/>
        </w:rPr>
        <w:t>tonnages and capture are monitored regularly</w:t>
      </w:r>
      <w:r w:rsidR="00E669C1">
        <w:rPr>
          <w:sz w:val="24"/>
        </w:rPr>
        <w:t xml:space="preserve"> to identify changes to the services such as </w:t>
      </w:r>
      <w:r w:rsidR="00E172CA">
        <w:rPr>
          <w:sz w:val="24"/>
        </w:rPr>
        <w:t xml:space="preserve">a reduction in food being thrown away, the amount of general waste being discarded and the amount of waste by collection service measured per household (kilograms per household per week </w:t>
      </w:r>
      <w:r w:rsidR="00E669C1">
        <w:rPr>
          <w:sz w:val="24"/>
        </w:rPr>
        <w:t>kg/HH/</w:t>
      </w:r>
      <w:proofErr w:type="spellStart"/>
      <w:r w:rsidR="00E669C1">
        <w:rPr>
          <w:sz w:val="24"/>
        </w:rPr>
        <w:t>wk</w:t>
      </w:r>
      <w:proofErr w:type="spellEnd"/>
      <w:r w:rsidR="00E172CA">
        <w:rPr>
          <w:sz w:val="24"/>
        </w:rPr>
        <w:t>)</w:t>
      </w:r>
      <w:r>
        <w:rPr>
          <w:sz w:val="24"/>
        </w:rPr>
        <w:t xml:space="preserve">.  </w:t>
      </w:r>
    </w:p>
    <w:p w14:paraId="202A8DC1" w14:textId="1B8CE4F4" w:rsidR="008B63CC" w:rsidRDefault="008B63CC" w:rsidP="00E669C1">
      <w:pPr>
        <w:tabs>
          <w:tab w:val="left" w:pos="507"/>
        </w:tabs>
        <w:ind w:left="507"/>
        <w:rPr>
          <w:sz w:val="24"/>
        </w:rPr>
      </w:pPr>
    </w:p>
    <w:p w14:paraId="07383531" w14:textId="1D88AEC9" w:rsidR="008B63CC" w:rsidRDefault="008B63CC" w:rsidP="00E669C1">
      <w:pPr>
        <w:tabs>
          <w:tab w:val="left" w:pos="507"/>
        </w:tabs>
        <w:ind w:left="507"/>
        <w:rPr>
          <w:sz w:val="24"/>
        </w:rPr>
      </w:pPr>
      <w:r>
        <w:rPr>
          <w:sz w:val="24"/>
        </w:rPr>
        <w:t>Capturing and analysing the different metrics for the performance of the food waste service will be essential to understand the impact of the investment as the flows</w:t>
      </w:r>
      <w:r w:rsidR="00E172CA">
        <w:rPr>
          <w:sz w:val="24"/>
        </w:rPr>
        <w:t xml:space="preserve"> of different materials</w:t>
      </w:r>
      <w:r>
        <w:rPr>
          <w:sz w:val="24"/>
        </w:rPr>
        <w:t xml:space="preserve"> change in the future</w:t>
      </w:r>
      <w:r w:rsidR="00E172CA">
        <w:rPr>
          <w:sz w:val="24"/>
        </w:rPr>
        <w:t xml:space="preserve"> as a result </w:t>
      </w:r>
      <w:proofErr w:type="spellStart"/>
      <w:r w:rsidR="00E172CA">
        <w:rPr>
          <w:sz w:val="24"/>
        </w:rPr>
        <w:t>of</w:t>
      </w:r>
      <w:r>
        <w:rPr>
          <w:sz w:val="24"/>
        </w:rPr>
        <w:t>external</w:t>
      </w:r>
      <w:proofErr w:type="spellEnd"/>
      <w:r>
        <w:rPr>
          <w:sz w:val="24"/>
        </w:rPr>
        <w:t xml:space="preserve"> impacts. These impacts are expected to include the </w:t>
      </w:r>
      <w:r w:rsidR="00805395">
        <w:rPr>
          <w:sz w:val="24"/>
        </w:rPr>
        <w:t>cost-of-living</w:t>
      </w:r>
      <w:r>
        <w:rPr>
          <w:sz w:val="24"/>
        </w:rPr>
        <w:t xml:space="preserve"> increases, food price increases, potential economic slowdown</w:t>
      </w:r>
      <w:r w:rsidR="00401732">
        <w:rPr>
          <w:sz w:val="24"/>
        </w:rPr>
        <w:t xml:space="preserve"> and</w:t>
      </w:r>
      <w:r>
        <w:rPr>
          <w:sz w:val="24"/>
        </w:rPr>
        <w:t xml:space="preserve"> increasing housing development</w:t>
      </w:r>
      <w:r w:rsidR="00401732">
        <w:rPr>
          <w:sz w:val="24"/>
        </w:rPr>
        <w:t>.</w:t>
      </w:r>
    </w:p>
    <w:p w14:paraId="1540B1E1" w14:textId="77777777" w:rsidR="00E669C1" w:rsidRDefault="00E669C1" w:rsidP="00E669C1">
      <w:pPr>
        <w:tabs>
          <w:tab w:val="left" w:pos="507"/>
        </w:tabs>
        <w:ind w:left="507"/>
        <w:rPr>
          <w:sz w:val="24"/>
        </w:rPr>
      </w:pPr>
    </w:p>
    <w:p w14:paraId="64C3A2EC" w14:textId="69558AFA" w:rsidR="0060215A" w:rsidRDefault="00E172CA" w:rsidP="00E669C1">
      <w:pPr>
        <w:tabs>
          <w:tab w:val="left" w:pos="507"/>
        </w:tabs>
        <w:ind w:left="507"/>
        <w:rPr>
          <w:sz w:val="24"/>
        </w:rPr>
      </w:pPr>
      <w:r>
        <w:rPr>
          <w:sz w:val="24"/>
        </w:rPr>
        <w:t xml:space="preserve">Using the 2 years prior to 2020-21 as a baseline, there has been an increase in the total recycling of food as more residents separate their waste to use the different services they receive.  </w:t>
      </w:r>
      <w:r w:rsidR="0060215A">
        <w:rPr>
          <w:sz w:val="24"/>
        </w:rPr>
        <w:t xml:space="preserve">The graph below shows the amount of food </w:t>
      </w:r>
      <w:r w:rsidR="00E669C1">
        <w:rPr>
          <w:sz w:val="24"/>
        </w:rPr>
        <w:t xml:space="preserve">remaining in the </w:t>
      </w:r>
      <w:r>
        <w:rPr>
          <w:sz w:val="24"/>
        </w:rPr>
        <w:t>general rubbish collection (residual waste, dark bars on the graph)</w:t>
      </w:r>
      <w:r w:rsidR="00F26A6C">
        <w:rPr>
          <w:sz w:val="24"/>
        </w:rPr>
        <w:t xml:space="preserve">, </w:t>
      </w:r>
      <w:r w:rsidR="0060215A">
        <w:rPr>
          <w:sz w:val="24"/>
        </w:rPr>
        <w:t xml:space="preserve">how much is being collected from food waste </w:t>
      </w:r>
      <w:r w:rsidR="00E669C1">
        <w:rPr>
          <w:sz w:val="24"/>
        </w:rPr>
        <w:t>services</w:t>
      </w:r>
      <w:r>
        <w:rPr>
          <w:sz w:val="24"/>
        </w:rPr>
        <w:t xml:space="preserve"> (recycling, light coloured bar)</w:t>
      </w:r>
      <w:r w:rsidR="00F26A6C">
        <w:rPr>
          <w:sz w:val="24"/>
        </w:rPr>
        <w:t xml:space="preserve"> and the percentage</w:t>
      </w:r>
      <w:r w:rsidR="00E669C1">
        <w:rPr>
          <w:sz w:val="24"/>
        </w:rPr>
        <w:t xml:space="preserve"> capture</w:t>
      </w:r>
      <w:r w:rsidR="00F26A6C">
        <w:rPr>
          <w:sz w:val="24"/>
        </w:rPr>
        <w:t xml:space="preserve"> of food waste</w:t>
      </w:r>
      <w:r>
        <w:rPr>
          <w:sz w:val="24"/>
        </w:rPr>
        <w:t xml:space="preserve"> (line on the graph)</w:t>
      </w:r>
      <w:r w:rsidR="0060215A">
        <w:rPr>
          <w:sz w:val="24"/>
        </w:rPr>
        <w:t xml:space="preserve">.  Residents are more likely to use services that are easily accessible, easy to use and well run, the delivery of </w:t>
      </w:r>
      <w:r w:rsidR="00F26A6C">
        <w:rPr>
          <w:sz w:val="24"/>
        </w:rPr>
        <w:t xml:space="preserve">the service development projects will continue to make the recycling of any discarded food the </w:t>
      </w:r>
      <w:r w:rsidR="006844AF">
        <w:rPr>
          <w:sz w:val="24"/>
        </w:rPr>
        <w:t xml:space="preserve">easy </w:t>
      </w:r>
      <w:r w:rsidR="00F26A6C">
        <w:rPr>
          <w:sz w:val="24"/>
        </w:rPr>
        <w:t>choice for residents.</w:t>
      </w:r>
    </w:p>
    <w:p w14:paraId="52DFAC1E" w14:textId="69DAE8D1" w:rsidR="00E85EF8" w:rsidRDefault="00E85EF8" w:rsidP="00E669C1">
      <w:pPr>
        <w:tabs>
          <w:tab w:val="left" w:pos="507"/>
        </w:tabs>
        <w:ind w:left="507"/>
        <w:rPr>
          <w:sz w:val="24"/>
        </w:rPr>
      </w:pPr>
    </w:p>
    <w:p w14:paraId="6689710C" w14:textId="41C2D7FD" w:rsidR="00DC32F0" w:rsidRDefault="00DC32F0" w:rsidP="001B72B7">
      <w:pPr>
        <w:tabs>
          <w:tab w:val="left" w:pos="507"/>
        </w:tabs>
        <w:ind w:left="720"/>
        <w:rPr>
          <w:sz w:val="24"/>
        </w:rPr>
      </w:pPr>
    </w:p>
    <w:p w14:paraId="6AE4DDB3" w14:textId="4CCABBC4" w:rsidR="00DC32F0" w:rsidRDefault="00DC32F0" w:rsidP="001B72B7">
      <w:pPr>
        <w:tabs>
          <w:tab w:val="left" w:pos="507"/>
        </w:tabs>
        <w:ind w:left="720"/>
        <w:rPr>
          <w:sz w:val="24"/>
        </w:rPr>
      </w:pPr>
      <w:r>
        <w:rPr>
          <w:noProof/>
          <w:lang w:eastAsia="en-GB"/>
        </w:rPr>
        <w:drawing>
          <wp:inline distT="0" distB="0" distL="0" distR="0" wp14:anchorId="18923648" wp14:editId="63486486">
            <wp:extent cx="6193901" cy="4129792"/>
            <wp:effectExtent l="0" t="0" r="0" b="4445"/>
            <wp:docPr id="1" name="Chart 1">
              <a:extLst xmlns:a="http://schemas.openxmlformats.org/drawingml/2006/main">
                <a:ext uri="{FF2B5EF4-FFF2-40B4-BE49-F238E27FC236}">
                  <a16:creationId xmlns:a16="http://schemas.microsoft.com/office/drawing/2014/main" id="{E82312EA-5F5B-4DF3-AB9A-757C8F93A8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A40F83" w14:textId="2DF6F0FD" w:rsidR="00E85EF8" w:rsidRDefault="00E85EF8" w:rsidP="00E85EF8">
      <w:pPr>
        <w:tabs>
          <w:tab w:val="left" w:pos="507"/>
        </w:tabs>
        <w:ind w:left="507"/>
        <w:rPr>
          <w:sz w:val="24"/>
        </w:rPr>
      </w:pPr>
    </w:p>
    <w:p w14:paraId="10809BE0" w14:textId="77777777" w:rsidR="00870A28" w:rsidRDefault="00870A28" w:rsidP="001B72B7">
      <w:pPr>
        <w:pStyle w:val="ListParagraph"/>
        <w:numPr>
          <w:ilvl w:val="1"/>
          <w:numId w:val="4"/>
        </w:numPr>
        <w:tabs>
          <w:tab w:val="left" w:pos="507"/>
        </w:tabs>
        <w:spacing w:before="121"/>
        <w:ind w:right="222"/>
        <w:jc w:val="left"/>
        <w:rPr>
          <w:b/>
          <w:bCs/>
          <w:sz w:val="24"/>
          <w:szCs w:val="24"/>
        </w:rPr>
      </w:pPr>
      <w:r w:rsidRPr="00803C39">
        <w:rPr>
          <w:b/>
          <w:bCs/>
          <w:sz w:val="24"/>
          <w:szCs w:val="24"/>
        </w:rPr>
        <w:t>HRRC investment fund</w:t>
      </w:r>
    </w:p>
    <w:p w14:paraId="4683A47A" w14:textId="0E18AFBB" w:rsidR="00870A28" w:rsidRDefault="00870A28" w:rsidP="001B72B7">
      <w:pPr>
        <w:pStyle w:val="ListParagraph"/>
        <w:tabs>
          <w:tab w:val="left" w:pos="507"/>
        </w:tabs>
        <w:spacing w:before="121"/>
        <w:ind w:left="720" w:right="222" w:firstLine="0"/>
        <w:jc w:val="left"/>
        <w:rPr>
          <w:sz w:val="24"/>
          <w:szCs w:val="24"/>
        </w:rPr>
      </w:pPr>
      <w:r w:rsidRPr="00870A28">
        <w:rPr>
          <w:sz w:val="24"/>
          <w:szCs w:val="24"/>
        </w:rPr>
        <w:t xml:space="preserve">WLWA projects and operations teams are working with </w:t>
      </w:r>
      <w:r w:rsidR="0062559A">
        <w:rPr>
          <w:sz w:val="24"/>
          <w:szCs w:val="24"/>
        </w:rPr>
        <w:t xml:space="preserve">Ealing and Hounslow to develop their proposals for the use of the £200,000 HRRC improvement fund.  These projects will be </w:t>
      </w:r>
      <w:r w:rsidR="00E85EF8">
        <w:rPr>
          <w:sz w:val="24"/>
          <w:szCs w:val="24"/>
        </w:rPr>
        <w:lastRenderedPageBreak/>
        <w:t>developed,</w:t>
      </w:r>
      <w:r w:rsidR="0062559A">
        <w:rPr>
          <w:sz w:val="24"/>
          <w:szCs w:val="24"/>
        </w:rPr>
        <w:t xml:space="preserve"> and implementation</w:t>
      </w:r>
      <w:r w:rsidR="00E85EF8">
        <w:rPr>
          <w:sz w:val="24"/>
          <w:szCs w:val="24"/>
        </w:rPr>
        <w:t xml:space="preserve"> will</w:t>
      </w:r>
      <w:r w:rsidR="0062559A">
        <w:rPr>
          <w:sz w:val="24"/>
          <w:szCs w:val="24"/>
        </w:rPr>
        <w:t xml:space="preserve"> begin before the end of July.</w:t>
      </w:r>
    </w:p>
    <w:p w14:paraId="645C96DF" w14:textId="7EEBBC3A" w:rsidR="0062559A" w:rsidRDefault="0062559A" w:rsidP="001B72B7">
      <w:pPr>
        <w:pStyle w:val="ListParagraph"/>
        <w:tabs>
          <w:tab w:val="left" w:pos="507"/>
        </w:tabs>
        <w:spacing w:before="121"/>
        <w:ind w:left="360" w:right="222" w:firstLine="0"/>
        <w:jc w:val="left"/>
        <w:rPr>
          <w:b/>
          <w:bCs/>
          <w:sz w:val="24"/>
          <w:szCs w:val="24"/>
        </w:rPr>
      </w:pPr>
    </w:p>
    <w:p w14:paraId="34A0E9A4" w14:textId="77777777" w:rsidR="006B65B2" w:rsidRDefault="006B65B2" w:rsidP="001B72B7">
      <w:pPr>
        <w:pStyle w:val="ListParagraph"/>
        <w:tabs>
          <w:tab w:val="left" w:pos="507"/>
        </w:tabs>
        <w:spacing w:before="121"/>
        <w:ind w:left="360" w:right="222" w:firstLine="0"/>
        <w:jc w:val="left"/>
        <w:rPr>
          <w:b/>
          <w:bCs/>
          <w:sz w:val="24"/>
          <w:szCs w:val="24"/>
        </w:rPr>
      </w:pPr>
    </w:p>
    <w:p w14:paraId="3E7F3AF4" w14:textId="24CE0D6E" w:rsidR="001B72B7" w:rsidRPr="006B65B2" w:rsidRDefault="001B72B7" w:rsidP="006B65B2">
      <w:pPr>
        <w:pStyle w:val="ListParagraph"/>
        <w:tabs>
          <w:tab w:val="left" w:pos="507"/>
        </w:tabs>
        <w:spacing w:before="121"/>
        <w:ind w:left="360" w:right="222" w:firstLine="0"/>
        <w:jc w:val="left"/>
        <w:rPr>
          <w:bCs/>
          <w:sz w:val="24"/>
          <w:szCs w:val="24"/>
        </w:rPr>
      </w:pPr>
      <w:r w:rsidRPr="001B72B7">
        <w:rPr>
          <w:bCs/>
          <w:sz w:val="24"/>
          <w:szCs w:val="24"/>
        </w:rPr>
        <w:t xml:space="preserve">2.3 </w:t>
      </w:r>
      <w:r w:rsidRPr="006B65B2">
        <w:rPr>
          <w:b/>
          <w:bCs/>
          <w:sz w:val="24"/>
          <w:szCs w:val="24"/>
        </w:rPr>
        <w:t>Waste Composition Analysis</w:t>
      </w:r>
    </w:p>
    <w:p w14:paraId="1F50BF95" w14:textId="5C228AA2" w:rsidR="001B72B7" w:rsidRDefault="001B72B7" w:rsidP="001B72B7">
      <w:pPr>
        <w:pStyle w:val="ListParagraph"/>
        <w:tabs>
          <w:tab w:val="left" w:pos="507"/>
        </w:tabs>
        <w:spacing w:before="121"/>
        <w:ind w:left="720" w:right="222" w:firstLine="0"/>
        <w:jc w:val="left"/>
        <w:rPr>
          <w:bCs/>
          <w:sz w:val="24"/>
          <w:szCs w:val="24"/>
        </w:rPr>
      </w:pPr>
      <w:r w:rsidRPr="001B72B7">
        <w:rPr>
          <w:bCs/>
          <w:sz w:val="24"/>
          <w:szCs w:val="24"/>
        </w:rPr>
        <w:t>The next waste composition analysis is planned for September 2022. The previous analys</w:t>
      </w:r>
      <w:r w:rsidR="006844AF">
        <w:rPr>
          <w:bCs/>
          <w:sz w:val="24"/>
          <w:szCs w:val="24"/>
        </w:rPr>
        <w:t>e</w:t>
      </w:r>
      <w:r w:rsidRPr="001B72B7">
        <w:rPr>
          <w:bCs/>
          <w:sz w:val="24"/>
          <w:szCs w:val="24"/>
        </w:rPr>
        <w:t xml:space="preserve">s </w:t>
      </w:r>
      <w:r>
        <w:rPr>
          <w:bCs/>
          <w:sz w:val="24"/>
          <w:szCs w:val="24"/>
        </w:rPr>
        <w:t>w</w:t>
      </w:r>
      <w:r w:rsidR="006844AF">
        <w:rPr>
          <w:bCs/>
          <w:sz w:val="24"/>
          <w:szCs w:val="24"/>
        </w:rPr>
        <w:t>ere</w:t>
      </w:r>
      <w:r w:rsidRPr="001B72B7">
        <w:rPr>
          <w:bCs/>
          <w:sz w:val="24"/>
          <w:szCs w:val="24"/>
        </w:rPr>
        <w:t xml:space="preserve"> conducted in June 2021 and March 2020</w:t>
      </w:r>
      <w:r>
        <w:rPr>
          <w:bCs/>
          <w:sz w:val="24"/>
          <w:szCs w:val="24"/>
        </w:rPr>
        <w:t xml:space="preserve">. </w:t>
      </w:r>
      <w:r w:rsidR="006844AF">
        <w:rPr>
          <w:bCs/>
          <w:sz w:val="24"/>
          <w:szCs w:val="24"/>
        </w:rPr>
        <w:t>F</w:t>
      </w:r>
      <w:r>
        <w:rPr>
          <w:bCs/>
          <w:sz w:val="24"/>
          <w:szCs w:val="24"/>
        </w:rPr>
        <w:t xml:space="preserve">eedback received from the boroughs </w:t>
      </w:r>
      <w:r w:rsidR="006844AF">
        <w:rPr>
          <w:bCs/>
          <w:sz w:val="24"/>
          <w:szCs w:val="24"/>
        </w:rPr>
        <w:t xml:space="preserve">following the previous analysis </w:t>
      </w:r>
      <w:r>
        <w:rPr>
          <w:bCs/>
          <w:sz w:val="24"/>
          <w:szCs w:val="24"/>
        </w:rPr>
        <w:t>will support shaping the specification of the analysis</w:t>
      </w:r>
      <w:r w:rsidR="006844AF">
        <w:rPr>
          <w:bCs/>
          <w:sz w:val="24"/>
          <w:szCs w:val="24"/>
        </w:rPr>
        <w:t xml:space="preserve"> in 2022</w:t>
      </w:r>
      <w:r>
        <w:rPr>
          <w:bCs/>
          <w:sz w:val="24"/>
          <w:szCs w:val="24"/>
        </w:rPr>
        <w:t>.</w:t>
      </w:r>
    </w:p>
    <w:p w14:paraId="3E2DFC5B" w14:textId="00F30A5A" w:rsidR="001B72B7" w:rsidRDefault="001B72B7" w:rsidP="001B72B7">
      <w:pPr>
        <w:pStyle w:val="ListParagraph"/>
        <w:tabs>
          <w:tab w:val="left" w:pos="507"/>
        </w:tabs>
        <w:spacing w:before="121"/>
        <w:ind w:left="720" w:right="222" w:firstLine="0"/>
        <w:jc w:val="left"/>
        <w:rPr>
          <w:bCs/>
          <w:sz w:val="24"/>
          <w:szCs w:val="24"/>
        </w:rPr>
      </w:pPr>
    </w:p>
    <w:p w14:paraId="396A8007" w14:textId="4A92E92E" w:rsidR="00CA5D99" w:rsidRPr="00CA5D99" w:rsidRDefault="001B72B7" w:rsidP="001B72B7">
      <w:pPr>
        <w:pStyle w:val="ListParagraph"/>
        <w:numPr>
          <w:ilvl w:val="0"/>
          <w:numId w:val="4"/>
        </w:numPr>
        <w:tabs>
          <w:tab w:val="left" w:pos="507"/>
        </w:tabs>
        <w:spacing w:before="121"/>
        <w:ind w:right="222" w:hanging="171"/>
        <w:jc w:val="left"/>
        <w:rPr>
          <w:b/>
          <w:sz w:val="24"/>
          <w:szCs w:val="24"/>
        </w:rPr>
      </w:pPr>
      <w:r>
        <w:rPr>
          <w:b/>
          <w:sz w:val="24"/>
          <w:szCs w:val="24"/>
        </w:rPr>
        <w:t xml:space="preserve">Net Zero &amp; </w:t>
      </w:r>
      <w:r w:rsidR="00CA5D99" w:rsidRPr="00CA5D99">
        <w:rPr>
          <w:b/>
          <w:sz w:val="24"/>
          <w:szCs w:val="24"/>
        </w:rPr>
        <w:t>Circular Economy</w:t>
      </w:r>
    </w:p>
    <w:p w14:paraId="453E8208" w14:textId="460B641E" w:rsidR="00CA5D99" w:rsidRPr="001B72B7" w:rsidRDefault="00CA5D99" w:rsidP="001B72B7">
      <w:pPr>
        <w:pStyle w:val="ListParagraph"/>
        <w:numPr>
          <w:ilvl w:val="1"/>
          <w:numId w:val="4"/>
        </w:numPr>
        <w:tabs>
          <w:tab w:val="left" w:pos="507"/>
        </w:tabs>
        <w:spacing w:before="121"/>
        <w:ind w:right="222"/>
        <w:jc w:val="left"/>
        <w:rPr>
          <w:b/>
          <w:sz w:val="24"/>
          <w:szCs w:val="24"/>
        </w:rPr>
      </w:pPr>
      <w:r w:rsidRPr="001B72B7">
        <w:rPr>
          <w:b/>
          <w:sz w:val="24"/>
          <w:szCs w:val="24"/>
        </w:rPr>
        <w:t>Fixing Factory</w:t>
      </w:r>
    </w:p>
    <w:p w14:paraId="5AEE69BC" w14:textId="38866A93" w:rsidR="00AD657F" w:rsidRDefault="006844AF" w:rsidP="001B72B7">
      <w:pPr>
        <w:pStyle w:val="ListParagraph"/>
        <w:tabs>
          <w:tab w:val="left" w:pos="507"/>
        </w:tabs>
        <w:spacing w:before="121"/>
        <w:ind w:left="792" w:right="222"/>
        <w:jc w:val="left"/>
        <w:rPr>
          <w:sz w:val="24"/>
          <w:szCs w:val="24"/>
        </w:rPr>
      </w:pPr>
      <w:r w:rsidRPr="006844AF">
        <w:rPr>
          <w:noProof/>
          <w:sz w:val="24"/>
          <w:szCs w:val="24"/>
          <w:lang w:eastAsia="en-GB"/>
        </w:rPr>
        <w:drawing>
          <wp:anchor distT="0" distB="0" distL="114300" distR="114300" simplePos="0" relativeHeight="251658240" behindDoc="1" locked="0" layoutInCell="1" allowOverlap="1" wp14:anchorId="58D2E73A" wp14:editId="5D42DC7D">
            <wp:simplePos x="0" y="0"/>
            <wp:positionH relativeFrom="column">
              <wp:posOffset>4298315</wp:posOffset>
            </wp:positionH>
            <wp:positionV relativeFrom="paragraph">
              <wp:posOffset>82550</wp:posOffset>
            </wp:positionV>
            <wp:extent cx="2615565" cy="2276475"/>
            <wp:effectExtent l="0" t="0" r="0" b="9525"/>
            <wp:wrapTight wrapText="bothSides">
              <wp:wrapPolygon edited="0">
                <wp:start x="0" y="0"/>
                <wp:lineTo x="0" y="21510"/>
                <wp:lineTo x="21395" y="21510"/>
                <wp:lineTo x="21395" y="0"/>
                <wp:lineTo x="0" y="0"/>
              </wp:wrapPolygon>
            </wp:wrapTight>
            <wp:docPr id="8" name="Picture 7" descr="cid:image001.jpg@01D86961.21BD7C00">
              <a:extLst xmlns:a="http://schemas.openxmlformats.org/drawingml/2006/main">
                <a:ext uri="{FF2B5EF4-FFF2-40B4-BE49-F238E27FC236}">
                  <a16:creationId xmlns:a16="http://schemas.microsoft.com/office/drawing/2014/main" id="{C05EA93D-955E-431F-B8F4-077FE213C460}"/>
                </a:ext>
              </a:extLst>
            </wp:docPr>
            <wp:cNvGraphicFramePr/>
            <a:graphic xmlns:a="http://schemas.openxmlformats.org/drawingml/2006/main">
              <a:graphicData uri="http://schemas.openxmlformats.org/drawingml/2006/picture">
                <pic:pic xmlns:pic="http://schemas.openxmlformats.org/drawingml/2006/picture">
                  <pic:nvPicPr>
                    <pic:cNvPr id="8" name="Picture 7" descr="cid:image001.jpg@01D86961.21BD7C00">
                      <a:extLst>
                        <a:ext uri="{FF2B5EF4-FFF2-40B4-BE49-F238E27FC236}">
                          <a16:creationId xmlns:a16="http://schemas.microsoft.com/office/drawing/2014/main" id="{C05EA93D-955E-431F-B8F4-077FE213C460}"/>
                        </a:ext>
                      </a:extLst>
                    </pic:cNvPr>
                    <pic:cNvPicPr/>
                  </pic:nvPicPr>
                  <pic:blipFill rotWithShape="1">
                    <a:blip r:embed="rId10">
                      <a:extLst>
                        <a:ext uri="{28A0092B-C50C-407E-A947-70E740481C1C}">
                          <a14:useLocalDpi xmlns:a14="http://schemas.microsoft.com/office/drawing/2010/main" val="0"/>
                        </a:ext>
                      </a:extLst>
                    </a:blip>
                    <a:srcRect l="9496" t="5557" r="14357" b="2698"/>
                    <a:stretch/>
                  </pic:blipFill>
                  <pic:spPr bwMode="auto">
                    <a:xfrm>
                      <a:off x="0" y="0"/>
                      <a:ext cx="261556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2B7">
        <w:rPr>
          <w:sz w:val="24"/>
          <w:szCs w:val="24"/>
        </w:rPr>
        <w:tab/>
      </w:r>
      <w:r w:rsidR="00AD657F">
        <w:rPr>
          <w:sz w:val="24"/>
          <w:szCs w:val="24"/>
        </w:rPr>
        <w:t>T</w:t>
      </w:r>
      <w:r w:rsidR="00AD657F" w:rsidRPr="00AD657F">
        <w:rPr>
          <w:sz w:val="24"/>
          <w:szCs w:val="24"/>
        </w:rPr>
        <w:t xml:space="preserve">he </w:t>
      </w:r>
      <w:hyperlink r:id="rId11" w:history="1">
        <w:r w:rsidR="00AD657F" w:rsidRPr="00AD657F">
          <w:rPr>
            <w:rStyle w:val="Hyperlink"/>
            <w:sz w:val="24"/>
            <w:szCs w:val="24"/>
          </w:rPr>
          <w:t>first fixing factory in London</w:t>
        </w:r>
      </w:hyperlink>
      <w:r w:rsidR="00AD657F" w:rsidRPr="00AD657F">
        <w:rPr>
          <w:sz w:val="24"/>
          <w:szCs w:val="24"/>
        </w:rPr>
        <w:t xml:space="preserve"> </w:t>
      </w:r>
      <w:r w:rsidR="00AD657F">
        <w:rPr>
          <w:sz w:val="24"/>
          <w:szCs w:val="24"/>
        </w:rPr>
        <w:t xml:space="preserve">was </w:t>
      </w:r>
      <w:r w:rsidR="00AD657F" w:rsidRPr="00AD657F">
        <w:rPr>
          <w:sz w:val="24"/>
          <w:szCs w:val="24"/>
        </w:rPr>
        <w:t xml:space="preserve">launched </w:t>
      </w:r>
      <w:r w:rsidR="00AD657F">
        <w:rPr>
          <w:sz w:val="24"/>
          <w:szCs w:val="24"/>
        </w:rPr>
        <w:t>on 23</w:t>
      </w:r>
      <w:r w:rsidR="00AD657F" w:rsidRPr="00AD657F">
        <w:rPr>
          <w:sz w:val="24"/>
          <w:szCs w:val="24"/>
          <w:vertAlign w:val="superscript"/>
        </w:rPr>
        <w:t>rd</w:t>
      </w:r>
      <w:r w:rsidR="00AD657F">
        <w:rPr>
          <w:sz w:val="24"/>
          <w:szCs w:val="24"/>
        </w:rPr>
        <w:t xml:space="preserve"> April </w:t>
      </w:r>
      <w:r w:rsidR="00AD657F" w:rsidRPr="00AD657F">
        <w:rPr>
          <w:sz w:val="24"/>
          <w:szCs w:val="24"/>
        </w:rPr>
        <w:t>at the Abbey Road Household Reuse and Recycling Centre in partnership with the Restart Project (funded by National Lottery). The fixing factory will collect, repair and redistribute laptops and tablets to local community groups and marginalised individuals. A brand-new Fixing Factory sign installed at the site was designed by local artist, Matt Small, using old broken tech.</w:t>
      </w:r>
    </w:p>
    <w:p w14:paraId="29EFF430" w14:textId="6F4F58C1" w:rsidR="00AD657F" w:rsidRPr="00AD657F" w:rsidRDefault="001B72B7" w:rsidP="001B72B7">
      <w:pPr>
        <w:pStyle w:val="ListParagraph"/>
        <w:tabs>
          <w:tab w:val="left" w:pos="507"/>
        </w:tabs>
        <w:spacing w:before="121"/>
        <w:ind w:left="792" w:right="222"/>
        <w:jc w:val="left"/>
        <w:rPr>
          <w:sz w:val="24"/>
          <w:szCs w:val="24"/>
        </w:rPr>
      </w:pPr>
      <w:r>
        <w:rPr>
          <w:sz w:val="24"/>
          <w:szCs w:val="24"/>
        </w:rPr>
        <w:tab/>
      </w:r>
      <w:r w:rsidR="00AD657F">
        <w:rPr>
          <w:sz w:val="24"/>
          <w:szCs w:val="24"/>
        </w:rPr>
        <w:t>M</w:t>
      </w:r>
      <w:r w:rsidR="00AD657F" w:rsidRPr="00AD657F">
        <w:rPr>
          <w:sz w:val="24"/>
          <w:szCs w:val="24"/>
        </w:rPr>
        <w:t>onthly repair sessions</w:t>
      </w:r>
      <w:r w:rsidR="00AD657F">
        <w:rPr>
          <w:sz w:val="24"/>
          <w:szCs w:val="24"/>
        </w:rPr>
        <w:t xml:space="preserve"> start</w:t>
      </w:r>
      <w:r w:rsidR="006844AF">
        <w:rPr>
          <w:sz w:val="24"/>
          <w:szCs w:val="24"/>
        </w:rPr>
        <w:t>ed</w:t>
      </w:r>
      <w:r w:rsidR="00AD657F">
        <w:rPr>
          <w:sz w:val="24"/>
          <w:szCs w:val="24"/>
        </w:rPr>
        <w:t xml:space="preserve"> </w:t>
      </w:r>
      <w:r w:rsidR="006844AF">
        <w:rPr>
          <w:sz w:val="24"/>
          <w:szCs w:val="24"/>
        </w:rPr>
        <w:t>on</w:t>
      </w:r>
      <w:r w:rsidR="00AD657F">
        <w:rPr>
          <w:sz w:val="24"/>
          <w:szCs w:val="24"/>
        </w:rPr>
        <w:t xml:space="preserve"> the 4</w:t>
      </w:r>
      <w:r w:rsidR="00AD657F" w:rsidRPr="00AD657F">
        <w:rPr>
          <w:sz w:val="24"/>
          <w:szCs w:val="24"/>
          <w:vertAlign w:val="superscript"/>
        </w:rPr>
        <w:t>th</w:t>
      </w:r>
      <w:r w:rsidR="00AD657F">
        <w:rPr>
          <w:sz w:val="24"/>
          <w:szCs w:val="24"/>
        </w:rPr>
        <w:t xml:space="preserve"> June</w:t>
      </w:r>
      <w:r w:rsidR="006844AF">
        <w:rPr>
          <w:sz w:val="24"/>
          <w:szCs w:val="24"/>
        </w:rPr>
        <w:t>,</w:t>
      </w:r>
      <w:r w:rsidR="00AD657F">
        <w:rPr>
          <w:sz w:val="24"/>
          <w:szCs w:val="24"/>
        </w:rPr>
        <w:t xml:space="preserve"> </w:t>
      </w:r>
      <w:r w:rsidR="00AD657F" w:rsidRPr="00AD657F">
        <w:rPr>
          <w:sz w:val="24"/>
          <w:szCs w:val="24"/>
        </w:rPr>
        <w:t xml:space="preserve"> </w:t>
      </w:r>
      <w:r w:rsidR="00AD657F">
        <w:rPr>
          <w:sz w:val="24"/>
          <w:szCs w:val="24"/>
        </w:rPr>
        <w:t xml:space="preserve">the </w:t>
      </w:r>
      <w:r w:rsidR="006844AF">
        <w:rPr>
          <w:sz w:val="24"/>
          <w:szCs w:val="24"/>
        </w:rPr>
        <w:t>Fixing F</w:t>
      </w:r>
      <w:r w:rsidR="00AD657F">
        <w:rPr>
          <w:sz w:val="24"/>
          <w:szCs w:val="24"/>
        </w:rPr>
        <w:t xml:space="preserve">actory will be open to residents </w:t>
      </w:r>
      <w:r w:rsidR="006844AF">
        <w:rPr>
          <w:sz w:val="24"/>
          <w:szCs w:val="24"/>
        </w:rPr>
        <w:t>to</w:t>
      </w:r>
      <w:r w:rsidR="00AD657F">
        <w:rPr>
          <w:sz w:val="24"/>
          <w:szCs w:val="24"/>
        </w:rPr>
        <w:t xml:space="preserve"> see </w:t>
      </w:r>
      <w:r w:rsidR="006844AF">
        <w:rPr>
          <w:sz w:val="24"/>
          <w:szCs w:val="24"/>
        </w:rPr>
        <w:t>the</w:t>
      </w:r>
      <w:r w:rsidR="00AD657F" w:rsidRPr="00AD657F">
        <w:rPr>
          <w:sz w:val="24"/>
          <w:szCs w:val="24"/>
        </w:rPr>
        <w:t xml:space="preserve"> team of repairers </w:t>
      </w:r>
      <w:r w:rsidR="00AD657F">
        <w:rPr>
          <w:sz w:val="24"/>
          <w:szCs w:val="24"/>
        </w:rPr>
        <w:t>in action f</w:t>
      </w:r>
      <w:r w:rsidR="00AD657F" w:rsidRPr="00AD657F">
        <w:rPr>
          <w:sz w:val="24"/>
          <w:szCs w:val="24"/>
        </w:rPr>
        <w:t>ixing donated laptops &amp; tablets.</w:t>
      </w:r>
      <w:r w:rsidR="00AD657F">
        <w:rPr>
          <w:sz w:val="24"/>
          <w:szCs w:val="24"/>
        </w:rPr>
        <w:t xml:space="preserve"> </w:t>
      </w:r>
      <w:r w:rsidR="00AD657F" w:rsidRPr="00AD657F">
        <w:rPr>
          <w:sz w:val="24"/>
          <w:szCs w:val="24"/>
        </w:rPr>
        <w:t>This project will also deliver a training programme for local youths/residents to obtain a certification and green skills to support them to get on a green job ladder</w:t>
      </w:r>
      <w:r w:rsidR="006844AF">
        <w:rPr>
          <w:sz w:val="24"/>
          <w:szCs w:val="24"/>
        </w:rPr>
        <w:t>.</w:t>
      </w:r>
    </w:p>
    <w:p w14:paraId="6B897F7D" w14:textId="4CFC5279" w:rsidR="00CA5D99" w:rsidRPr="001B72B7" w:rsidRDefault="00125936" w:rsidP="001B72B7">
      <w:pPr>
        <w:pStyle w:val="ListParagraph"/>
        <w:numPr>
          <w:ilvl w:val="1"/>
          <w:numId w:val="4"/>
        </w:numPr>
        <w:tabs>
          <w:tab w:val="left" w:pos="507"/>
        </w:tabs>
        <w:spacing w:before="121"/>
        <w:ind w:right="222"/>
        <w:jc w:val="left"/>
        <w:rPr>
          <w:b/>
          <w:sz w:val="24"/>
          <w:szCs w:val="24"/>
        </w:rPr>
      </w:pPr>
      <w:r w:rsidRPr="001B72B7">
        <w:rPr>
          <w:b/>
          <w:sz w:val="24"/>
          <w:szCs w:val="24"/>
        </w:rPr>
        <w:t xml:space="preserve">Electrical </w:t>
      </w:r>
      <w:r w:rsidR="00CA5D99" w:rsidRPr="001B72B7">
        <w:rPr>
          <w:b/>
          <w:sz w:val="24"/>
          <w:szCs w:val="24"/>
        </w:rPr>
        <w:t>Repair Directory</w:t>
      </w:r>
      <w:r w:rsidRPr="001B72B7">
        <w:rPr>
          <w:b/>
          <w:sz w:val="24"/>
          <w:szCs w:val="24"/>
        </w:rPr>
        <w:t xml:space="preserve"> (Restart Project)</w:t>
      </w:r>
    </w:p>
    <w:p w14:paraId="2183CFC9" w14:textId="25E01606" w:rsidR="00125936" w:rsidRPr="001C6144" w:rsidRDefault="006844AF" w:rsidP="006B65B2">
      <w:pPr>
        <w:pStyle w:val="ListParagraph"/>
        <w:tabs>
          <w:tab w:val="left" w:pos="507"/>
        </w:tabs>
        <w:spacing w:before="121"/>
        <w:ind w:left="507" w:right="222" w:firstLine="0"/>
        <w:rPr>
          <w:sz w:val="24"/>
          <w:szCs w:val="24"/>
        </w:rPr>
      </w:pPr>
      <w:r>
        <w:rPr>
          <w:sz w:val="24"/>
          <w:szCs w:val="24"/>
        </w:rPr>
        <w:t xml:space="preserve">The west London </w:t>
      </w:r>
      <w:hyperlink r:id="rId12" w:history="1">
        <w:r w:rsidR="00125936" w:rsidRPr="00125936">
          <w:rPr>
            <w:rStyle w:val="Hyperlink"/>
            <w:sz w:val="24"/>
            <w:szCs w:val="24"/>
          </w:rPr>
          <w:t>the Repair Directory</w:t>
        </w:r>
      </w:hyperlink>
      <w:r w:rsidR="00125936" w:rsidRPr="00125936">
        <w:rPr>
          <w:sz w:val="24"/>
          <w:szCs w:val="24"/>
        </w:rPr>
        <w:t xml:space="preserve"> </w:t>
      </w:r>
      <w:r>
        <w:rPr>
          <w:sz w:val="24"/>
          <w:szCs w:val="24"/>
        </w:rPr>
        <w:t xml:space="preserve">has now been developed.  Covering </w:t>
      </w:r>
      <w:r w:rsidR="00125936" w:rsidRPr="00125936">
        <w:rPr>
          <w:sz w:val="24"/>
          <w:szCs w:val="24"/>
        </w:rPr>
        <w:t>8 Boroughs</w:t>
      </w:r>
      <w:r w:rsidR="00125936">
        <w:rPr>
          <w:sz w:val="24"/>
          <w:szCs w:val="24"/>
        </w:rPr>
        <w:t xml:space="preserve"> (</w:t>
      </w:r>
      <w:r>
        <w:rPr>
          <w:sz w:val="24"/>
          <w:szCs w:val="24"/>
        </w:rPr>
        <w:t xml:space="preserve">all </w:t>
      </w:r>
      <w:r w:rsidR="00125936">
        <w:rPr>
          <w:sz w:val="24"/>
          <w:szCs w:val="24"/>
        </w:rPr>
        <w:t>6 of WLWA’s constituent boroughs, L</w:t>
      </w:r>
      <w:r w:rsidR="00033AC4">
        <w:rPr>
          <w:sz w:val="24"/>
          <w:szCs w:val="24"/>
        </w:rPr>
        <w:t xml:space="preserve">ondon </w:t>
      </w:r>
      <w:r w:rsidR="00125936">
        <w:rPr>
          <w:sz w:val="24"/>
          <w:szCs w:val="24"/>
        </w:rPr>
        <w:t>B</w:t>
      </w:r>
      <w:r w:rsidR="00033AC4">
        <w:rPr>
          <w:sz w:val="24"/>
          <w:szCs w:val="24"/>
        </w:rPr>
        <w:t xml:space="preserve">orough of </w:t>
      </w:r>
      <w:r w:rsidR="00125936">
        <w:rPr>
          <w:sz w:val="24"/>
          <w:szCs w:val="24"/>
        </w:rPr>
        <w:t>H</w:t>
      </w:r>
      <w:r w:rsidR="00033AC4">
        <w:rPr>
          <w:sz w:val="24"/>
          <w:szCs w:val="24"/>
        </w:rPr>
        <w:t xml:space="preserve">ammersmith and </w:t>
      </w:r>
      <w:r w:rsidR="00125936">
        <w:rPr>
          <w:sz w:val="24"/>
          <w:szCs w:val="24"/>
        </w:rPr>
        <w:t>F</w:t>
      </w:r>
      <w:r w:rsidR="00033AC4">
        <w:rPr>
          <w:sz w:val="24"/>
          <w:szCs w:val="24"/>
        </w:rPr>
        <w:t>ulham (H&amp;F)</w:t>
      </w:r>
      <w:r w:rsidR="00125936">
        <w:rPr>
          <w:sz w:val="24"/>
          <w:szCs w:val="24"/>
        </w:rPr>
        <w:t xml:space="preserve"> and R</w:t>
      </w:r>
      <w:r w:rsidR="00033AC4">
        <w:rPr>
          <w:sz w:val="24"/>
          <w:szCs w:val="24"/>
        </w:rPr>
        <w:t xml:space="preserve">oyal </w:t>
      </w:r>
      <w:r w:rsidR="00125936">
        <w:rPr>
          <w:sz w:val="24"/>
          <w:szCs w:val="24"/>
        </w:rPr>
        <w:t>B</w:t>
      </w:r>
      <w:r w:rsidR="00033AC4">
        <w:rPr>
          <w:sz w:val="24"/>
          <w:szCs w:val="24"/>
        </w:rPr>
        <w:t xml:space="preserve">orough of </w:t>
      </w:r>
      <w:r w:rsidR="00125936">
        <w:rPr>
          <w:sz w:val="24"/>
          <w:szCs w:val="24"/>
        </w:rPr>
        <w:t>K</w:t>
      </w:r>
      <w:r w:rsidR="00033AC4">
        <w:rPr>
          <w:sz w:val="24"/>
          <w:szCs w:val="24"/>
        </w:rPr>
        <w:t xml:space="preserve">ensington and </w:t>
      </w:r>
      <w:r w:rsidR="00125936">
        <w:rPr>
          <w:sz w:val="24"/>
          <w:szCs w:val="24"/>
        </w:rPr>
        <w:t>C</w:t>
      </w:r>
      <w:r w:rsidR="00033AC4">
        <w:rPr>
          <w:sz w:val="24"/>
          <w:szCs w:val="24"/>
        </w:rPr>
        <w:t>helsea (RBKC)</w:t>
      </w:r>
      <w:r w:rsidR="00125936">
        <w:rPr>
          <w:sz w:val="24"/>
          <w:szCs w:val="24"/>
        </w:rPr>
        <w:t xml:space="preserve">). The Directory is embedded in WLWA’s brand new website, providing residents with a list of local businesses where they can get their electrical items repaired. </w:t>
      </w:r>
      <w:r w:rsidR="00125936" w:rsidRPr="00125936">
        <w:rPr>
          <w:sz w:val="24"/>
          <w:szCs w:val="24"/>
        </w:rPr>
        <w:t>In total,147 repair businesses</w:t>
      </w:r>
      <w:r>
        <w:rPr>
          <w:sz w:val="24"/>
          <w:szCs w:val="24"/>
        </w:rPr>
        <w:t xml:space="preserve"> meeting the selection criteria</w:t>
      </w:r>
      <w:r w:rsidR="00125936" w:rsidRPr="00125936">
        <w:rPr>
          <w:sz w:val="24"/>
          <w:szCs w:val="24"/>
        </w:rPr>
        <w:t xml:space="preserve"> </w:t>
      </w:r>
      <w:r w:rsidR="00125936">
        <w:rPr>
          <w:sz w:val="24"/>
          <w:szCs w:val="24"/>
        </w:rPr>
        <w:t>were identified</w:t>
      </w:r>
      <w:r>
        <w:rPr>
          <w:sz w:val="24"/>
          <w:szCs w:val="24"/>
        </w:rPr>
        <w:t>.</w:t>
      </w:r>
      <w:r w:rsidR="001B72B7">
        <w:rPr>
          <w:sz w:val="24"/>
          <w:szCs w:val="24"/>
        </w:rPr>
        <w:t xml:space="preserve"> </w:t>
      </w:r>
      <w:r>
        <w:rPr>
          <w:sz w:val="24"/>
          <w:szCs w:val="24"/>
        </w:rPr>
        <w:t xml:space="preserve"> </w:t>
      </w:r>
      <w:r w:rsidR="00125936">
        <w:rPr>
          <w:sz w:val="24"/>
          <w:szCs w:val="24"/>
        </w:rPr>
        <w:t>Brent 24, Ealing 11, Harrow 11, Hillingdon 23,</w:t>
      </w:r>
      <w:r w:rsidR="00125936" w:rsidRPr="00125936">
        <w:rPr>
          <w:sz w:val="24"/>
          <w:szCs w:val="24"/>
        </w:rPr>
        <w:t xml:space="preserve"> </w:t>
      </w:r>
      <w:r w:rsidR="00125936">
        <w:rPr>
          <w:sz w:val="24"/>
          <w:szCs w:val="24"/>
        </w:rPr>
        <w:t>Hounslow 22, Richmond 22, H&amp;F 15, RBKC 19). The Boroughs’ comm</w:t>
      </w:r>
      <w:r>
        <w:rPr>
          <w:sz w:val="24"/>
          <w:szCs w:val="24"/>
        </w:rPr>
        <w:t>unications</w:t>
      </w:r>
      <w:r w:rsidR="00125936">
        <w:rPr>
          <w:sz w:val="24"/>
          <w:szCs w:val="24"/>
        </w:rPr>
        <w:t xml:space="preserve"> teams will be provided with a pack to start wider promotion of the Directory and the Boroughs are also encouraged to link to our Directory from their council’s website.</w:t>
      </w:r>
    </w:p>
    <w:p w14:paraId="336E31BC" w14:textId="4D07F9EA" w:rsidR="00CA5D99" w:rsidRPr="00156E2F" w:rsidRDefault="00AD657F" w:rsidP="001B72B7">
      <w:pPr>
        <w:pStyle w:val="ListParagraph"/>
        <w:numPr>
          <w:ilvl w:val="1"/>
          <w:numId w:val="4"/>
        </w:numPr>
        <w:tabs>
          <w:tab w:val="left" w:pos="507"/>
        </w:tabs>
        <w:spacing w:before="121"/>
        <w:ind w:right="222"/>
        <w:jc w:val="left"/>
        <w:rPr>
          <w:b/>
          <w:sz w:val="24"/>
          <w:szCs w:val="24"/>
        </w:rPr>
      </w:pPr>
      <w:r w:rsidRPr="00156E2F">
        <w:rPr>
          <w:b/>
          <w:sz w:val="24"/>
          <w:szCs w:val="24"/>
        </w:rPr>
        <w:t>Circular Economy</w:t>
      </w:r>
      <w:r w:rsidR="00CA5D99" w:rsidRPr="00156E2F">
        <w:rPr>
          <w:b/>
          <w:sz w:val="24"/>
          <w:szCs w:val="24"/>
        </w:rPr>
        <w:t xml:space="preserve"> </w:t>
      </w:r>
      <w:r w:rsidRPr="00156E2F">
        <w:rPr>
          <w:b/>
          <w:sz w:val="24"/>
          <w:szCs w:val="24"/>
        </w:rPr>
        <w:t>H</w:t>
      </w:r>
      <w:r w:rsidR="00CA5D99" w:rsidRPr="00156E2F">
        <w:rPr>
          <w:b/>
          <w:sz w:val="24"/>
          <w:szCs w:val="24"/>
        </w:rPr>
        <w:t>ub</w:t>
      </w:r>
      <w:r w:rsidRPr="00156E2F">
        <w:rPr>
          <w:b/>
          <w:sz w:val="24"/>
          <w:szCs w:val="24"/>
        </w:rPr>
        <w:t>s</w:t>
      </w:r>
    </w:p>
    <w:p w14:paraId="7DD09818" w14:textId="428CE642" w:rsidR="00690255" w:rsidRPr="001C6144" w:rsidRDefault="00690255" w:rsidP="001C6144">
      <w:pPr>
        <w:pStyle w:val="ListParagraph"/>
        <w:tabs>
          <w:tab w:val="left" w:pos="507"/>
        </w:tabs>
        <w:spacing w:before="121"/>
        <w:ind w:left="792" w:right="222" w:firstLine="0"/>
        <w:jc w:val="left"/>
        <w:rPr>
          <w:sz w:val="24"/>
          <w:szCs w:val="24"/>
        </w:rPr>
      </w:pPr>
      <w:r>
        <w:rPr>
          <w:sz w:val="24"/>
          <w:szCs w:val="24"/>
        </w:rPr>
        <w:t xml:space="preserve">Conversations are currently progressing with 3 potential sites/partners: Ealing </w:t>
      </w:r>
      <w:r w:rsidR="006844AF">
        <w:rPr>
          <w:sz w:val="24"/>
          <w:szCs w:val="24"/>
        </w:rPr>
        <w:t>C</w:t>
      </w:r>
      <w:r>
        <w:rPr>
          <w:sz w:val="24"/>
          <w:szCs w:val="24"/>
        </w:rPr>
        <w:t xml:space="preserve">ouncil; Brent </w:t>
      </w:r>
      <w:r w:rsidR="006844AF">
        <w:rPr>
          <w:sz w:val="24"/>
          <w:szCs w:val="24"/>
        </w:rPr>
        <w:t>C</w:t>
      </w:r>
      <w:r>
        <w:rPr>
          <w:sz w:val="24"/>
          <w:szCs w:val="24"/>
        </w:rPr>
        <w:t xml:space="preserve">ouncil; and London Community Kitchen (Harrow). Various circular economy organisations </w:t>
      </w:r>
      <w:r w:rsidR="006844AF">
        <w:rPr>
          <w:sz w:val="24"/>
          <w:szCs w:val="24"/>
        </w:rPr>
        <w:t>including</w:t>
      </w:r>
      <w:r>
        <w:rPr>
          <w:sz w:val="24"/>
          <w:szCs w:val="24"/>
        </w:rPr>
        <w:t xml:space="preserve"> the Library of Things, local repair cafes and a refill station have been approached to discuss potential partnership opportunit</w:t>
      </w:r>
      <w:r w:rsidR="006844AF">
        <w:rPr>
          <w:sz w:val="24"/>
          <w:szCs w:val="24"/>
        </w:rPr>
        <w:t>ies</w:t>
      </w:r>
      <w:r>
        <w:rPr>
          <w:sz w:val="24"/>
          <w:szCs w:val="24"/>
        </w:rPr>
        <w:t>.</w:t>
      </w:r>
    </w:p>
    <w:p w14:paraId="018223A4" w14:textId="6E9A8769" w:rsidR="001B72B7" w:rsidRDefault="001B72B7" w:rsidP="00CA5D99">
      <w:pPr>
        <w:pStyle w:val="ListParagraph"/>
        <w:tabs>
          <w:tab w:val="left" w:pos="507"/>
        </w:tabs>
        <w:spacing w:before="121"/>
        <w:ind w:left="360" w:right="222" w:firstLine="0"/>
        <w:rPr>
          <w:sz w:val="24"/>
          <w:szCs w:val="24"/>
        </w:rPr>
      </w:pPr>
      <w:r>
        <w:rPr>
          <w:sz w:val="24"/>
          <w:szCs w:val="24"/>
        </w:rPr>
        <w:t>3.</w:t>
      </w:r>
      <w:r w:rsidR="005E7D66">
        <w:rPr>
          <w:sz w:val="24"/>
          <w:szCs w:val="24"/>
        </w:rPr>
        <w:t>4</w:t>
      </w:r>
      <w:r>
        <w:rPr>
          <w:sz w:val="24"/>
          <w:szCs w:val="24"/>
        </w:rPr>
        <w:t xml:space="preserve"> </w:t>
      </w:r>
      <w:r w:rsidRPr="00156E2F">
        <w:rPr>
          <w:b/>
          <w:sz w:val="24"/>
          <w:szCs w:val="24"/>
        </w:rPr>
        <w:t>Abbey Road Decarbonisation</w:t>
      </w:r>
    </w:p>
    <w:p w14:paraId="6866722B" w14:textId="0292AD4D" w:rsidR="00CA5D99" w:rsidRDefault="001B72B7" w:rsidP="001C6144">
      <w:pPr>
        <w:pStyle w:val="ListParagraph"/>
        <w:tabs>
          <w:tab w:val="left" w:pos="507"/>
        </w:tabs>
        <w:spacing w:before="121"/>
        <w:ind w:left="792" w:right="222" w:firstLine="0"/>
        <w:jc w:val="left"/>
        <w:rPr>
          <w:sz w:val="24"/>
          <w:szCs w:val="24"/>
        </w:rPr>
      </w:pPr>
      <w:r>
        <w:rPr>
          <w:sz w:val="24"/>
          <w:szCs w:val="24"/>
        </w:rPr>
        <w:t>A grid application was submitted to allow s</w:t>
      </w:r>
      <w:r w:rsidR="00CA5D99">
        <w:rPr>
          <w:sz w:val="24"/>
          <w:szCs w:val="24"/>
        </w:rPr>
        <w:t>olar panels</w:t>
      </w:r>
      <w:r>
        <w:rPr>
          <w:sz w:val="24"/>
          <w:szCs w:val="24"/>
        </w:rPr>
        <w:t xml:space="preserve"> to be installed at Abbey Road. Social impacts (working conditions and environmental impacts) were considered when selecting the appropriate panels</w:t>
      </w:r>
      <w:r w:rsidR="00AA23B4">
        <w:rPr>
          <w:sz w:val="24"/>
          <w:szCs w:val="24"/>
        </w:rPr>
        <w:t xml:space="preserve">. It is anticipated that the project will be paid back in </w:t>
      </w:r>
      <w:r w:rsidR="001844B4">
        <w:rPr>
          <w:sz w:val="24"/>
          <w:szCs w:val="24"/>
        </w:rPr>
        <w:t>c.6</w:t>
      </w:r>
      <w:r w:rsidR="00AA23B4">
        <w:rPr>
          <w:sz w:val="24"/>
          <w:szCs w:val="24"/>
        </w:rPr>
        <w:t xml:space="preserve"> years and </w:t>
      </w:r>
      <w:r w:rsidR="001844B4">
        <w:rPr>
          <w:sz w:val="24"/>
          <w:szCs w:val="24"/>
        </w:rPr>
        <w:t>c.</w:t>
      </w:r>
      <w:r w:rsidR="00AA23B4">
        <w:rPr>
          <w:sz w:val="24"/>
          <w:szCs w:val="24"/>
        </w:rPr>
        <w:t>7.4t CO</w:t>
      </w:r>
      <w:r w:rsidR="00AA23B4" w:rsidRPr="006B65B2">
        <w:rPr>
          <w:sz w:val="24"/>
          <w:szCs w:val="24"/>
          <w:vertAlign w:val="subscript"/>
        </w:rPr>
        <w:t>2</w:t>
      </w:r>
      <w:r w:rsidR="00AA23B4">
        <w:rPr>
          <w:sz w:val="24"/>
          <w:szCs w:val="24"/>
        </w:rPr>
        <w:t xml:space="preserve"> saving p</w:t>
      </w:r>
      <w:r w:rsidR="006844AF">
        <w:rPr>
          <w:sz w:val="24"/>
          <w:szCs w:val="24"/>
        </w:rPr>
        <w:t xml:space="preserve">er </w:t>
      </w:r>
      <w:r w:rsidR="00AA23B4">
        <w:rPr>
          <w:sz w:val="24"/>
          <w:szCs w:val="24"/>
        </w:rPr>
        <w:t>a</w:t>
      </w:r>
      <w:r w:rsidR="006844AF">
        <w:rPr>
          <w:sz w:val="24"/>
          <w:szCs w:val="24"/>
        </w:rPr>
        <w:t>nnum</w:t>
      </w:r>
      <w:r w:rsidR="00AA23B4">
        <w:rPr>
          <w:sz w:val="24"/>
          <w:szCs w:val="24"/>
        </w:rPr>
        <w:t xml:space="preserve">.  </w:t>
      </w:r>
    </w:p>
    <w:p w14:paraId="3D884F3C" w14:textId="38E3CFFF" w:rsidR="00AA23B4" w:rsidRDefault="005E7D66" w:rsidP="001C6144">
      <w:pPr>
        <w:pStyle w:val="ListParagraph"/>
        <w:tabs>
          <w:tab w:val="left" w:pos="507"/>
        </w:tabs>
        <w:spacing w:before="121"/>
        <w:ind w:left="792" w:right="222" w:firstLine="0"/>
        <w:jc w:val="left"/>
        <w:rPr>
          <w:sz w:val="24"/>
          <w:szCs w:val="24"/>
        </w:rPr>
      </w:pPr>
      <w:r>
        <w:rPr>
          <w:sz w:val="24"/>
          <w:szCs w:val="24"/>
        </w:rPr>
        <w:lastRenderedPageBreak/>
        <w:t>Four</w:t>
      </w:r>
      <w:r w:rsidR="00CA5D99">
        <w:rPr>
          <w:sz w:val="24"/>
          <w:szCs w:val="24"/>
        </w:rPr>
        <w:t xml:space="preserve"> electric vehicle charging points have </w:t>
      </w:r>
      <w:r w:rsidR="00AA23B4">
        <w:rPr>
          <w:sz w:val="24"/>
          <w:szCs w:val="24"/>
        </w:rPr>
        <w:t xml:space="preserve">also </w:t>
      </w:r>
      <w:r w:rsidR="00CA5D99">
        <w:rPr>
          <w:sz w:val="24"/>
          <w:szCs w:val="24"/>
        </w:rPr>
        <w:t>been installed and are now functional</w:t>
      </w:r>
      <w:r w:rsidR="00AA23B4">
        <w:rPr>
          <w:sz w:val="24"/>
          <w:szCs w:val="24"/>
        </w:rPr>
        <w:t xml:space="preserve">. This will ensure </w:t>
      </w:r>
      <w:r w:rsidR="00156E2F">
        <w:rPr>
          <w:sz w:val="24"/>
          <w:szCs w:val="24"/>
        </w:rPr>
        <w:t xml:space="preserve">the </w:t>
      </w:r>
      <w:r w:rsidR="00AA23B4">
        <w:rPr>
          <w:sz w:val="24"/>
          <w:szCs w:val="24"/>
        </w:rPr>
        <w:t xml:space="preserve">WLWA </w:t>
      </w:r>
      <w:r w:rsidR="006844AF">
        <w:rPr>
          <w:sz w:val="24"/>
          <w:szCs w:val="24"/>
        </w:rPr>
        <w:t>electric vehicle</w:t>
      </w:r>
      <w:r w:rsidR="00FB5A55">
        <w:rPr>
          <w:sz w:val="24"/>
          <w:szCs w:val="24"/>
        </w:rPr>
        <w:t xml:space="preserve"> is carbon neutral as</w:t>
      </w:r>
      <w:r w:rsidR="006844AF">
        <w:rPr>
          <w:sz w:val="24"/>
          <w:szCs w:val="24"/>
        </w:rPr>
        <w:t xml:space="preserve"> </w:t>
      </w:r>
      <w:r w:rsidR="00FB5A55">
        <w:rPr>
          <w:sz w:val="24"/>
          <w:szCs w:val="24"/>
        </w:rPr>
        <w:t xml:space="preserve">it </w:t>
      </w:r>
      <w:r w:rsidR="00AA23B4">
        <w:rPr>
          <w:sz w:val="24"/>
          <w:szCs w:val="24"/>
        </w:rPr>
        <w:t xml:space="preserve">is charged </w:t>
      </w:r>
      <w:r w:rsidR="00156E2F">
        <w:rPr>
          <w:sz w:val="24"/>
          <w:szCs w:val="24"/>
        </w:rPr>
        <w:t>on site</w:t>
      </w:r>
      <w:r w:rsidR="00AA23B4">
        <w:rPr>
          <w:sz w:val="24"/>
          <w:szCs w:val="24"/>
        </w:rPr>
        <w:t xml:space="preserve"> </w:t>
      </w:r>
      <w:r w:rsidR="00FB5A55">
        <w:rPr>
          <w:sz w:val="24"/>
          <w:szCs w:val="24"/>
        </w:rPr>
        <w:t>with electricity through</w:t>
      </w:r>
      <w:r w:rsidR="00AA23B4">
        <w:rPr>
          <w:sz w:val="24"/>
          <w:szCs w:val="24"/>
        </w:rPr>
        <w:t xml:space="preserve"> a green energy tariff. </w:t>
      </w:r>
    </w:p>
    <w:p w14:paraId="41569C80" w14:textId="6DE25987" w:rsidR="006B65B2" w:rsidRDefault="006B65B2">
      <w:pPr>
        <w:rPr>
          <w:b/>
          <w:sz w:val="24"/>
          <w:szCs w:val="24"/>
        </w:rPr>
      </w:pPr>
      <w:bookmarkStart w:id="0" w:name="_GoBack"/>
      <w:bookmarkEnd w:id="0"/>
    </w:p>
    <w:p w14:paraId="1D06F358" w14:textId="4F491279" w:rsidR="001B72B7" w:rsidRPr="005E7D66" w:rsidRDefault="001B72B7" w:rsidP="001B72B7">
      <w:pPr>
        <w:pStyle w:val="ListParagraph"/>
        <w:numPr>
          <w:ilvl w:val="0"/>
          <w:numId w:val="4"/>
        </w:numPr>
        <w:tabs>
          <w:tab w:val="left" w:pos="507"/>
        </w:tabs>
        <w:spacing w:before="121"/>
        <w:ind w:right="222" w:hanging="171"/>
        <w:rPr>
          <w:sz w:val="24"/>
          <w:szCs w:val="24"/>
        </w:rPr>
      </w:pPr>
      <w:r w:rsidRPr="00156E2F">
        <w:rPr>
          <w:b/>
          <w:sz w:val="24"/>
          <w:szCs w:val="24"/>
        </w:rPr>
        <w:t>WLWA Website</w:t>
      </w:r>
    </w:p>
    <w:p w14:paraId="672E80B4" w14:textId="5BC30565" w:rsidR="001B72B7" w:rsidRPr="001B72B7" w:rsidRDefault="00AA23B4" w:rsidP="00AA23B4">
      <w:pPr>
        <w:pStyle w:val="ListParagraph"/>
        <w:tabs>
          <w:tab w:val="left" w:pos="507"/>
        </w:tabs>
        <w:spacing w:before="121"/>
        <w:ind w:left="360" w:right="222" w:firstLine="0"/>
        <w:rPr>
          <w:sz w:val="24"/>
          <w:szCs w:val="24"/>
        </w:rPr>
      </w:pPr>
      <w:r>
        <w:rPr>
          <w:sz w:val="24"/>
          <w:szCs w:val="24"/>
        </w:rPr>
        <w:t xml:space="preserve">A brand new website for WLWA was launched on </w:t>
      </w:r>
      <w:r w:rsidR="006B65B2" w:rsidRPr="006B65B2">
        <w:rPr>
          <w:sz w:val="24"/>
          <w:szCs w:val="24"/>
        </w:rPr>
        <w:t>15</w:t>
      </w:r>
      <w:r w:rsidRPr="006B65B2">
        <w:rPr>
          <w:sz w:val="24"/>
          <w:szCs w:val="24"/>
          <w:vertAlign w:val="superscript"/>
        </w:rPr>
        <w:t>th</w:t>
      </w:r>
      <w:r w:rsidRPr="006B65B2">
        <w:rPr>
          <w:sz w:val="24"/>
          <w:szCs w:val="24"/>
        </w:rPr>
        <w:t xml:space="preserve"> June.</w:t>
      </w:r>
      <w:r>
        <w:rPr>
          <w:sz w:val="24"/>
          <w:szCs w:val="24"/>
        </w:rPr>
        <w:t xml:space="preserve"> The site was developed with </w:t>
      </w:r>
      <w:r w:rsidR="00156E2F">
        <w:rPr>
          <w:sz w:val="24"/>
          <w:szCs w:val="24"/>
        </w:rPr>
        <w:t>the mobile-first</w:t>
      </w:r>
      <w:r>
        <w:rPr>
          <w:sz w:val="24"/>
          <w:szCs w:val="24"/>
        </w:rPr>
        <w:t xml:space="preserve"> concept, allowing </w:t>
      </w:r>
      <w:r w:rsidR="00156E2F">
        <w:rPr>
          <w:sz w:val="24"/>
          <w:szCs w:val="24"/>
        </w:rPr>
        <w:t xml:space="preserve">the </w:t>
      </w:r>
      <w:r>
        <w:rPr>
          <w:sz w:val="24"/>
          <w:szCs w:val="24"/>
        </w:rPr>
        <w:t xml:space="preserve">design to be flexible and </w:t>
      </w:r>
      <w:r w:rsidR="00156E2F">
        <w:rPr>
          <w:sz w:val="24"/>
          <w:szCs w:val="24"/>
        </w:rPr>
        <w:t xml:space="preserve">user friendly for various devices (smartphones, tablets and PCs). The new website features </w:t>
      </w:r>
      <w:r w:rsidR="00690255">
        <w:rPr>
          <w:sz w:val="24"/>
          <w:szCs w:val="24"/>
        </w:rPr>
        <w:t xml:space="preserve">a modern look and structure; </w:t>
      </w:r>
      <w:r w:rsidR="00156E2F">
        <w:rPr>
          <w:sz w:val="24"/>
          <w:szCs w:val="24"/>
        </w:rPr>
        <w:t>routing that prompts visitors to think about what else they can do with the items before visiting</w:t>
      </w:r>
      <w:r w:rsidR="00FB5A55">
        <w:rPr>
          <w:sz w:val="24"/>
          <w:szCs w:val="24"/>
        </w:rPr>
        <w:t xml:space="preserve"> reuse and</w:t>
      </w:r>
      <w:r w:rsidR="00156E2F">
        <w:rPr>
          <w:sz w:val="24"/>
          <w:szCs w:val="24"/>
        </w:rPr>
        <w:t xml:space="preserve"> recycling centres; carbon/environmental impacts of items</w:t>
      </w:r>
      <w:r w:rsidR="00690255">
        <w:rPr>
          <w:sz w:val="24"/>
          <w:szCs w:val="24"/>
        </w:rPr>
        <w:t xml:space="preserve">. In addition to the  </w:t>
      </w:r>
      <w:r w:rsidR="00FB5A55">
        <w:rPr>
          <w:sz w:val="24"/>
          <w:szCs w:val="24"/>
        </w:rPr>
        <w:t>R</w:t>
      </w:r>
      <w:r w:rsidR="00690255">
        <w:rPr>
          <w:sz w:val="24"/>
          <w:szCs w:val="24"/>
        </w:rPr>
        <w:t xml:space="preserve">epair </w:t>
      </w:r>
      <w:r w:rsidR="00FB5A55">
        <w:rPr>
          <w:sz w:val="24"/>
          <w:szCs w:val="24"/>
        </w:rPr>
        <w:t>D</w:t>
      </w:r>
      <w:r w:rsidR="00690255">
        <w:rPr>
          <w:sz w:val="24"/>
          <w:szCs w:val="24"/>
        </w:rPr>
        <w:t>irectory</w:t>
      </w:r>
      <w:r w:rsidR="00FB5A55">
        <w:rPr>
          <w:sz w:val="24"/>
          <w:szCs w:val="24"/>
        </w:rPr>
        <w:t xml:space="preserve"> for electricals</w:t>
      </w:r>
      <w:r w:rsidR="00690255">
        <w:rPr>
          <w:sz w:val="24"/>
          <w:szCs w:val="24"/>
        </w:rPr>
        <w:t>, further development is planned to incorporate a ‘virtual circular economy hub’ this year.</w:t>
      </w:r>
    </w:p>
    <w:p w14:paraId="65168C2A" w14:textId="77777777" w:rsidR="001B72B7" w:rsidRPr="001B72B7" w:rsidRDefault="001B72B7" w:rsidP="001B72B7">
      <w:pPr>
        <w:tabs>
          <w:tab w:val="left" w:pos="507"/>
        </w:tabs>
        <w:spacing w:before="121"/>
        <w:ind w:right="222"/>
        <w:rPr>
          <w:sz w:val="24"/>
          <w:szCs w:val="24"/>
        </w:rPr>
      </w:pPr>
    </w:p>
    <w:p w14:paraId="1BCCBFD3" w14:textId="0E09A820" w:rsidR="001B72B7" w:rsidRPr="001B72B7" w:rsidRDefault="00053B29" w:rsidP="003828A1">
      <w:pPr>
        <w:pStyle w:val="ListParagraph"/>
        <w:numPr>
          <w:ilvl w:val="0"/>
          <w:numId w:val="4"/>
        </w:numPr>
        <w:tabs>
          <w:tab w:val="left" w:pos="507"/>
        </w:tabs>
        <w:spacing w:before="121"/>
        <w:ind w:right="222" w:hanging="171"/>
        <w:rPr>
          <w:sz w:val="24"/>
          <w:szCs w:val="24"/>
        </w:rPr>
      </w:pPr>
      <w:r w:rsidRPr="00A87979">
        <w:rPr>
          <w:b/>
          <w:sz w:val="24"/>
        </w:rPr>
        <w:t>Risk</w:t>
      </w:r>
    </w:p>
    <w:p w14:paraId="31FA4B9B" w14:textId="48CEC763" w:rsidR="0082498B" w:rsidRDefault="003828A1" w:rsidP="001B72B7">
      <w:pPr>
        <w:pStyle w:val="ListParagraph"/>
        <w:tabs>
          <w:tab w:val="left" w:pos="507"/>
        </w:tabs>
        <w:spacing w:before="121"/>
        <w:ind w:left="360" w:right="222" w:firstLine="0"/>
        <w:rPr>
          <w:sz w:val="24"/>
          <w:szCs w:val="24"/>
        </w:rPr>
      </w:pPr>
      <w:r>
        <w:rPr>
          <w:sz w:val="24"/>
          <w:szCs w:val="24"/>
        </w:rPr>
        <w:t>N</w:t>
      </w:r>
      <w:r w:rsidRPr="00A14497">
        <w:rPr>
          <w:sz w:val="24"/>
          <w:szCs w:val="24"/>
        </w:rPr>
        <w:t>ew</w:t>
      </w:r>
      <w:r w:rsidRPr="00A14497">
        <w:rPr>
          <w:spacing w:val="-12"/>
          <w:sz w:val="24"/>
          <w:szCs w:val="24"/>
        </w:rPr>
        <w:t xml:space="preserve"> </w:t>
      </w:r>
      <w:r w:rsidRPr="00A14497">
        <w:rPr>
          <w:sz w:val="24"/>
          <w:szCs w:val="24"/>
        </w:rPr>
        <w:t xml:space="preserve">legislation </w:t>
      </w:r>
      <w:r>
        <w:rPr>
          <w:sz w:val="24"/>
          <w:szCs w:val="24"/>
        </w:rPr>
        <w:t xml:space="preserve">and details regarding </w:t>
      </w:r>
      <w:r w:rsidR="00053B29" w:rsidRPr="00A14497">
        <w:rPr>
          <w:sz w:val="24"/>
          <w:szCs w:val="24"/>
        </w:rPr>
        <w:t>EPR</w:t>
      </w:r>
      <w:r>
        <w:rPr>
          <w:spacing w:val="1"/>
          <w:sz w:val="24"/>
          <w:szCs w:val="24"/>
        </w:rPr>
        <w:t xml:space="preserve">, </w:t>
      </w:r>
      <w:r w:rsidR="00053B29" w:rsidRPr="00A14497">
        <w:rPr>
          <w:sz w:val="24"/>
          <w:szCs w:val="24"/>
        </w:rPr>
        <w:t>DRS</w:t>
      </w:r>
      <w:r w:rsidR="00053B29" w:rsidRPr="00A14497">
        <w:rPr>
          <w:spacing w:val="1"/>
          <w:sz w:val="24"/>
          <w:szCs w:val="24"/>
        </w:rPr>
        <w:t xml:space="preserve"> </w:t>
      </w:r>
      <w:r>
        <w:rPr>
          <w:spacing w:val="1"/>
          <w:sz w:val="24"/>
          <w:szCs w:val="24"/>
        </w:rPr>
        <w:t>and the Environment Bill, that will impact on all waste services are expected soon</w:t>
      </w:r>
      <w:r w:rsidR="00053B29" w:rsidRPr="00A14497">
        <w:rPr>
          <w:sz w:val="24"/>
          <w:szCs w:val="24"/>
        </w:rPr>
        <w:t>.</w:t>
      </w:r>
      <w:r w:rsidR="00053B29" w:rsidRPr="00A14497">
        <w:rPr>
          <w:spacing w:val="-12"/>
          <w:sz w:val="24"/>
          <w:szCs w:val="24"/>
        </w:rPr>
        <w:t xml:space="preserve"> </w:t>
      </w:r>
      <w:r>
        <w:rPr>
          <w:sz w:val="24"/>
          <w:szCs w:val="24"/>
        </w:rPr>
        <w:t xml:space="preserve">Officers are </w:t>
      </w:r>
      <w:r w:rsidR="00FB5A55">
        <w:rPr>
          <w:sz w:val="24"/>
          <w:szCs w:val="24"/>
        </w:rPr>
        <w:t xml:space="preserve">factoring </w:t>
      </w:r>
      <w:r w:rsidR="00BD6499" w:rsidRPr="003828A1">
        <w:rPr>
          <w:spacing w:val="-11"/>
          <w:sz w:val="24"/>
          <w:szCs w:val="24"/>
        </w:rPr>
        <w:t xml:space="preserve">potential </w:t>
      </w:r>
      <w:r w:rsidR="00053B29" w:rsidRPr="003828A1">
        <w:rPr>
          <w:sz w:val="24"/>
          <w:szCs w:val="24"/>
        </w:rPr>
        <w:t>impacts</w:t>
      </w:r>
      <w:r w:rsidR="00053B29" w:rsidRPr="003828A1">
        <w:rPr>
          <w:spacing w:val="-15"/>
          <w:sz w:val="24"/>
          <w:szCs w:val="24"/>
        </w:rPr>
        <w:t xml:space="preserve"> </w:t>
      </w:r>
      <w:r w:rsidR="00053B29" w:rsidRPr="003828A1">
        <w:rPr>
          <w:sz w:val="24"/>
          <w:szCs w:val="24"/>
        </w:rPr>
        <w:t>in</w:t>
      </w:r>
      <w:r w:rsidR="00053B29" w:rsidRPr="003828A1">
        <w:rPr>
          <w:spacing w:val="1"/>
          <w:sz w:val="24"/>
          <w:szCs w:val="24"/>
        </w:rPr>
        <w:t xml:space="preserve"> </w:t>
      </w:r>
      <w:r w:rsidR="00053B29" w:rsidRPr="003828A1">
        <w:rPr>
          <w:sz w:val="24"/>
          <w:szCs w:val="24"/>
        </w:rPr>
        <w:t>during</w:t>
      </w:r>
      <w:r w:rsidR="00053B29" w:rsidRPr="003828A1">
        <w:rPr>
          <w:spacing w:val="-3"/>
          <w:sz w:val="24"/>
          <w:szCs w:val="24"/>
        </w:rPr>
        <w:t xml:space="preserve"> </w:t>
      </w:r>
      <w:r w:rsidR="00053B29" w:rsidRPr="003828A1">
        <w:rPr>
          <w:sz w:val="24"/>
          <w:szCs w:val="24"/>
        </w:rPr>
        <w:t>the development</w:t>
      </w:r>
      <w:r w:rsidR="00053B29" w:rsidRPr="003828A1">
        <w:rPr>
          <w:spacing w:val="-2"/>
          <w:sz w:val="24"/>
          <w:szCs w:val="24"/>
        </w:rPr>
        <w:t xml:space="preserve"> </w:t>
      </w:r>
      <w:r w:rsidR="00053B29" w:rsidRPr="003828A1">
        <w:rPr>
          <w:sz w:val="24"/>
          <w:szCs w:val="24"/>
        </w:rPr>
        <w:t>of all</w:t>
      </w:r>
      <w:r w:rsidR="00053B29" w:rsidRPr="003828A1">
        <w:rPr>
          <w:spacing w:val="-1"/>
          <w:sz w:val="24"/>
          <w:szCs w:val="24"/>
        </w:rPr>
        <w:t xml:space="preserve"> </w:t>
      </w:r>
      <w:r w:rsidR="00053B29" w:rsidRPr="003828A1">
        <w:rPr>
          <w:sz w:val="24"/>
          <w:szCs w:val="24"/>
        </w:rPr>
        <w:t>projects.</w:t>
      </w:r>
    </w:p>
    <w:p w14:paraId="03E5F313" w14:textId="069ED76C" w:rsidR="00401732" w:rsidRDefault="00401732">
      <w:pPr>
        <w:rPr>
          <w:b/>
          <w:sz w:val="24"/>
        </w:rPr>
      </w:pPr>
    </w:p>
    <w:p w14:paraId="415383A2" w14:textId="3EF62493" w:rsidR="00FD07B3" w:rsidRPr="00FD07B3" w:rsidRDefault="00053B29" w:rsidP="00FD07B3">
      <w:pPr>
        <w:pStyle w:val="ListParagraph"/>
        <w:numPr>
          <w:ilvl w:val="0"/>
          <w:numId w:val="4"/>
        </w:numPr>
        <w:tabs>
          <w:tab w:val="left" w:pos="507"/>
        </w:tabs>
        <w:ind w:left="426" w:right="220" w:hanging="218"/>
        <w:rPr>
          <w:sz w:val="24"/>
        </w:rPr>
      </w:pPr>
      <w:r w:rsidRPr="002C7E23">
        <w:rPr>
          <w:b/>
          <w:sz w:val="24"/>
        </w:rPr>
        <w:t>Financial Implications</w:t>
      </w:r>
    </w:p>
    <w:p w14:paraId="6D2F758C" w14:textId="0D94ECE9" w:rsidR="00FD07B3" w:rsidRDefault="00C03FAE" w:rsidP="001B72B7">
      <w:pPr>
        <w:pStyle w:val="ListParagraph"/>
        <w:tabs>
          <w:tab w:val="left" w:pos="507"/>
        </w:tabs>
        <w:ind w:left="360" w:right="220" w:firstLine="0"/>
        <w:rPr>
          <w:bCs/>
          <w:sz w:val="24"/>
        </w:rPr>
      </w:pPr>
      <w:r>
        <w:rPr>
          <w:bCs/>
          <w:sz w:val="24"/>
        </w:rPr>
        <w:t xml:space="preserve">The additional food waste captured in </w:t>
      </w:r>
      <w:r w:rsidR="00FB5A55">
        <w:rPr>
          <w:bCs/>
          <w:sz w:val="24"/>
        </w:rPr>
        <w:t>20</w:t>
      </w:r>
      <w:r>
        <w:rPr>
          <w:bCs/>
          <w:sz w:val="24"/>
        </w:rPr>
        <w:t>21/22 is c.4100</w:t>
      </w:r>
      <w:r w:rsidR="00FB5A55">
        <w:rPr>
          <w:bCs/>
          <w:sz w:val="24"/>
        </w:rPr>
        <w:t xml:space="preserve"> </w:t>
      </w:r>
      <w:r>
        <w:rPr>
          <w:bCs/>
          <w:sz w:val="24"/>
        </w:rPr>
        <w:t>tonnes with an estimated return of c.£4</w:t>
      </w:r>
      <w:r w:rsidR="00107A34">
        <w:rPr>
          <w:bCs/>
          <w:sz w:val="24"/>
        </w:rPr>
        <w:t>2</w:t>
      </w:r>
      <w:r>
        <w:rPr>
          <w:bCs/>
          <w:sz w:val="24"/>
        </w:rPr>
        <w:t>0,000</w:t>
      </w:r>
      <w:r w:rsidR="00FB5A55">
        <w:rPr>
          <w:bCs/>
          <w:sz w:val="24"/>
        </w:rPr>
        <w:t xml:space="preserve"> in savings from removing this material from the general waste collection</w:t>
      </w:r>
      <w:r w:rsidR="00107A34">
        <w:rPr>
          <w:bCs/>
          <w:sz w:val="24"/>
        </w:rPr>
        <w:t xml:space="preserve">. The estimated food waste reduction in </w:t>
      </w:r>
      <w:r w:rsidR="00FB5A55">
        <w:rPr>
          <w:bCs/>
          <w:sz w:val="24"/>
        </w:rPr>
        <w:t>general waste</w:t>
      </w:r>
      <w:r w:rsidR="00107A34">
        <w:rPr>
          <w:bCs/>
          <w:sz w:val="24"/>
        </w:rPr>
        <w:t xml:space="preserve"> will be assessed following the next waste composition </w:t>
      </w:r>
      <w:r w:rsidR="00FB5A55">
        <w:rPr>
          <w:bCs/>
          <w:sz w:val="24"/>
        </w:rPr>
        <w:t>analysis</w:t>
      </w:r>
      <w:r w:rsidR="00107A34">
        <w:rPr>
          <w:bCs/>
          <w:sz w:val="24"/>
        </w:rPr>
        <w:t xml:space="preserve"> to capture the return through</w:t>
      </w:r>
      <w:r w:rsidR="00631F90">
        <w:rPr>
          <w:bCs/>
          <w:sz w:val="24"/>
        </w:rPr>
        <w:t xml:space="preserve"> waste</w:t>
      </w:r>
      <w:r w:rsidR="00107A34">
        <w:rPr>
          <w:bCs/>
          <w:sz w:val="24"/>
        </w:rPr>
        <w:t xml:space="preserve"> reduction.</w:t>
      </w:r>
    </w:p>
    <w:p w14:paraId="5DB0DBAB" w14:textId="28E2F164" w:rsidR="005E7D66" w:rsidRDefault="003B531D" w:rsidP="001B72B7">
      <w:pPr>
        <w:pStyle w:val="ListParagraph"/>
        <w:tabs>
          <w:tab w:val="left" w:pos="507"/>
        </w:tabs>
        <w:ind w:left="360" w:right="220" w:firstLine="0"/>
        <w:rPr>
          <w:bCs/>
          <w:sz w:val="24"/>
        </w:rPr>
      </w:pPr>
      <w:r>
        <w:rPr>
          <w:bCs/>
          <w:sz w:val="24"/>
        </w:rPr>
        <w:t>The solar</w:t>
      </w:r>
      <w:r w:rsidR="00631F90">
        <w:rPr>
          <w:bCs/>
          <w:sz w:val="24"/>
        </w:rPr>
        <w:t xml:space="preserve"> energy</w:t>
      </w:r>
      <w:r w:rsidR="00FE28C9">
        <w:rPr>
          <w:bCs/>
          <w:sz w:val="24"/>
        </w:rPr>
        <w:t xml:space="preserve"> </w:t>
      </w:r>
      <w:r>
        <w:rPr>
          <w:bCs/>
          <w:sz w:val="24"/>
        </w:rPr>
        <w:t>project at Abbey Road</w:t>
      </w:r>
      <w:r w:rsidR="00FE28C9">
        <w:rPr>
          <w:bCs/>
          <w:sz w:val="24"/>
        </w:rPr>
        <w:t xml:space="preserve"> </w:t>
      </w:r>
      <w:r>
        <w:rPr>
          <w:bCs/>
          <w:sz w:val="24"/>
        </w:rPr>
        <w:t>requires</w:t>
      </w:r>
      <w:r w:rsidR="00FE28C9">
        <w:rPr>
          <w:bCs/>
          <w:sz w:val="24"/>
        </w:rPr>
        <w:t xml:space="preserve"> an initial investment of approx. £30,000</w:t>
      </w:r>
      <w:r>
        <w:rPr>
          <w:bCs/>
          <w:sz w:val="24"/>
        </w:rPr>
        <w:t xml:space="preserve"> for the panels. Based on an estimated £5,080 savings in import electricity costs, we anticipate net savings of £202,307 over 25 years for the organisation. The project’s payback is </w:t>
      </w:r>
      <w:r w:rsidR="00FD07B3">
        <w:rPr>
          <w:bCs/>
          <w:sz w:val="24"/>
        </w:rPr>
        <w:t>c.</w:t>
      </w:r>
      <w:r w:rsidR="001844B4">
        <w:rPr>
          <w:bCs/>
          <w:sz w:val="24"/>
        </w:rPr>
        <w:t>6</w:t>
      </w:r>
      <w:r>
        <w:rPr>
          <w:bCs/>
          <w:sz w:val="24"/>
        </w:rPr>
        <w:t xml:space="preserve"> years.</w:t>
      </w:r>
    </w:p>
    <w:p w14:paraId="0D1647B3" w14:textId="44A14602" w:rsidR="00C82C32" w:rsidRPr="00EE0B55" w:rsidRDefault="00E311F8" w:rsidP="001B72B7">
      <w:pPr>
        <w:pStyle w:val="ListParagraph"/>
        <w:tabs>
          <w:tab w:val="left" w:pos="507"/>
        </w:tabs>
        <w:ind w:left="360" w:right="220" w:firstLine="0"/>
        <w:rPr>
          <w:sz w:val="24"/>
        </w:rPr>
      </w:pPr>
      <w:r>
        <w:rPr>
          <w:bCs/>
          <w:sz w:val="24"/>
        </w:rPr>
        <w:t>WLWA projects are designed to test and change the whole system to deliver benefits financially, environmentally and socially. Due to the whole system approach</w:t>
      </w:r>
      <w:r w:rsidR="008C1548">
        <w:rPr>
          <w:bCs/>
          <w:sz w:val="24"/>
        </w:rPr>
        <w:t>,</w:t>
      </w:r>
      <w:r>
        <w:rPr>
          <w:bCs/>
          <w:sz w:val="24"/>
        </w:rPr>
        <w:t xml:space="preserve"> there are aspects of the deliver</w:t>
      </w:r>
      <w:r w:rsidR="00EE0B55">
        <w:rPr>
          <w:bCs/>
          <w:sz w:val="24"/>
        </w:rPr>
        <w:t>y</w:t>
      </w:r>
      <w:r>
        <w:rPr>
          <w:bCs/>
          <w:sz w:val="24"/>
        </w:rPr>
        <w:t xml:space="preserve"> and return</w:t>
      </w:r>
      <w:r w:rsidR="00EE0B55">
        <w:rPr>
          <w:bCs/>
          <w:sz w:val="24"/>
        </w:rPr>
        <w:t>s</w:t>
      </w:r>
      <w:r>
        <w:rPr>
          <w:bCs/>
          <w:sz w:val="24"/>
        </w:rPr>
        <w:t xml:space="preserve"> that require significant partnership working and multiple stakeholder </w:t>
      </w:r>
      <w:r w:rsidR="00AB3F11">
        <w:rPr>
          <w:bCs/>
          <w:sz w:val="24"/>
        </w:rPr>
        <w:t>changes</w:t>
      </w:r>
      <w:r>
        <w:rPr>
          <w:bCs/>
          <w:sz w:val="24"/>
        </w:rPr>
        <w:t>, as such absolute</w:t>
      </w:r>
      <w:r w:rsidR="0092510B">
        <w:rPr>
          <w:bCs/>
          <w:sz w:val="24"/>
        </w:rPr>
        <w:t xml:space="preserve"> return</w:t>
      </w:r>
      <w:r>
        <w:rPr>
          <w:bCs/>
          <w:sz w:val="24"/>
        </w:rPr>
        <w:t>s</w:t>
      </w:r>
      <w:r w:rsidR="0092510B">
        <w:rPr>
          <w:bCs/>
          <w:sz w:val="24"/>
        </w:rPr>
        <w:t xml:space="preserve"> </w:t>
      </w:r>
      <w:r>
        <w:rPr>
          <w:bCs/>
          <w:sz w:val="24"/>
        </w:rPr>
        <w:t>are modelled</w:t>
      </w:r>
      <w:r w:rsidR="008C6EC6">
        <w:rPr>
          <w:bCs/>
          <w:sz w:val="24"/>
        </w:rPr>
        <w:t>,</w:t>
      </w:r>
      <w:r>
        <w:rPr>
          <w:bCs/>
          <w:sz w:val="24"/>
        </w:rPr>
        <w:t xml:space="preserve"> risk assessed</w:t>
      </w:r>
      <w:r w:rsidR="008C6EC6">
        <w:rPr>
          <w:bCs/>
          <w:sz w:val="24"/>
        </w:rPr>
        <w:t xml:space="preserve"> and tracked</w:t>
      </w:r>
      <w:r>
        <w:rPr>
          <w:bCs/>
          <w:sz w:val="24"/>
        </w:rPr>
        <w:t xml:space="preserve"> but cannot </w:t>
      </w:r>
      <w:r w:rsidR="008C6EC6">
        <w:rPr>
          <w:bCs/>
          <w:sz w:val="24"/>
        </w:rPr>
        <w:t>be</w:t>
      </w:r>
      <w:r>
        <w:rPr>
          <w:bCs/>
          <w:sz w:val="24"/>
        </w:rPr>
        <w:t xml:space="preserve"> guaranteed</w:t>
      </w:r>
      <w:r w:rsidR="0092510B">
        <w:rPr>
          <w:bCs/>
          <w:sz w:val="24"/>
        </w:rPr>
        <w:t>.</w:t>
      </w:r>
    </w:p>
    <w:p w14:paraId="7A8ED7E7" w14:textId="77777777" w:rsidR="00EE0B55" w:rsidRPr="001C6144" w:rsidRDefault="00EE0B55" w:rsidP="001C6144">
      <w:pPr>
        <w:tabs>
          <w:tab w:val="left" w:pos="507"/>
        </w:tabs>
        <w:ind w:right="220"/>
        <w:rPr>
          <w:sz w:val="24"/>
        </w:rPr>
      </w:pPr>
    </w:p>
    <w:p w14:paraId="7E923530" w14:textId="464A79BA" w:rsidR="008C1548" w:rsidRPr="001C6144" w:rsidRDefault="00053B29" w:rsidP="001C6144">
      <w:pPr>
        <w:pStyle w:val="ListParagraph"/>
        <w:numPr>
          <w:ilvl w:val="0"/>
          <w:numId w:val="4"/>
        </w:numPr>
        <w:tabs>
          <w:tab w:val="left" w:pos="507"/>
        </w:tabs>
        <w:spacing w:before="121"/>
        <w:ind w:right="224" w:hanging="171"/>
        <w:rPr>
          <w:sz w:val="24"/>
        </w:rPr>
      </w:pPr>
      <w:r>
        <w:rPr>
          <w:b/>
          <w:sz w:val="24"/>
        </w:rPr>
        <w:t>Staffing Implications</w:t>
      </w:r>
      <w:r w:rsidRPr="00690255">
        <w:rPr>
          <w:sz w:val="24"/>
        </w:rPr>
        <w:t xml:space="preserve"> –</w:t>
      </w:r>
      <w:r>
        <w:rPr>
          <w:b/>
          <w:sz w:val="24"/>
        </w:rPr>
        <w:t xml:space="preserve"> </w:t>
      </w:r>
      <w:r w:rsidR="008C1548">
        <w:rPr>
          <w:sz w:val="24"/>
        </w:rPr>
        <w:t xml:space="preserve">Two members of staff (CE Manager and a Project Officer) are now on maternity leave. We are planning to recruit for a maternity cover shortly to fill the shortfall in team </w:t>
      </w:r>
      <w:r w:rsidR="003B531D">
        <w:rPr>
          <w:sz w:val="24"/>
        </w:rPr>
        <w:t>resources</w:t>
      </w:r>
      <w:r w:rsidR="008C1548">
        <w:rPr>
          <w:sz w:val="24"/>
        </w:rPr>
        <w:t xml:space="preserve">. </w:t>
      </w:r>
    </w:p>
    <w:p w14:paraId="779D5FF0" w14:textId="7D4B6873" w:rsidR="008C1548" w:rsidRPr="001C6144" w:rsidRDefault="00053B29" w:rsidP="008C1548">
      <w:pPr>
        <w:pStyle w:val="ListParagraph"/>
        <w:numPr>
          <w:ilvl w:val="0"/>
          <w:numId w:val="4"/>
        </w:numPr>
        <w:tabs>
          <w:tab w:val="left" w:pos="507"/>
        </w:tabs>
        <w:spacing w:before="121"/>
        <w:ind w:right="224" w:hanging="171"/>
        <w:rPr>
          <w:sz w:val="24"/>
        </w:rPr>
      </w:pPr>
      <w:r w:rsidRPr="00CA5D99">
        <w:rPr>
          <w:b/>
          <w:sz w:val="24"/>
        </w:rPr>
        <w:t>Health</w:t>
      </w:r>
      <w:r w:rsidRPr="00125936">
        <w:rPr>
          <w:b/>
          <w:sz w:val="24"/>
        </w:rPr>
        <w:t xml:space="preserve"> </w:t>
      </w:r>
      <w:r w:rsidRPr="00CA5D99">
        <w:rPr>
          <w:b/>
          <w:sz w:val="24"/>
        </w:rPr>
        <w:t>and</w:t>
      </w:r>
      <w:r w:rsidRPr="00125936">
        <w:rPr>
          <w:b/>
          <w:sz w:val="24"/>
        </w:rPr>
        <w:t xml:space="preserve"> </w:t>
      </w:r>
      <w:r w:rsidRPr="00CA5D99">
        <w:rPr>
          <w:b/>
          <w:sz w:val="24"/>
        </w:rPr>
        <w:t>Safety Implications</w:t>
      </w:r>
      <w:r w:rsidRPr="00125936">
        <w:rPr>
          <w:b/>
          <w:sz w:val="24"/>
        </w:rPr>
        <w:t xml:space="preserve"> </w:t>
      </w:r>
      <w:r w:rsidRPr="00125936">
        <w:rPr>
          <w:sz w:val="24"/>
        </w:rPr>
        <w:t>–</w:t>
      </w:r>
      <w:r w:rsidR="0041713B" w:rsidRPr="00125936">
        <w:rPr>
          <w:sz w:val="24"/>
        </w:rPr>
        <w:t xml:space="preserve"> </w:t>
      </w:r>
      <w:r w:rsidRPr="00125936">
        <w:rPr>
          <w:sz w:val="24"/>
        </w:rPr>
        <w:t>All fieldwork has been risk</w:t>
      </w:r>
      <w:r w:rsidR="00A87979" w:rsidRPr="00125936">
        <w:rPr>
          <w:sz w:val="24"/>
        </w:rPr>
        <w:t>-</w:t>
      </w:r>
      <w:r w:rsidRPr="00125936">
        <w:rPr>
          <w:sz w:val="24"/>
        </w:rPr>
        <w:t>assessed for the tasks to be completed</w:t>
      </w:r>
      <w:r w:rsidR="00CA5D99" w:rsidRPr="00125936">
        <w:rPr>
          <w:sz w:val="24"/>
        </w:rPr>
        <w:t xml:space="preserve">. </w:t>
      </w:r>
      <w:r w:rsidR="008C1548">
        <w:rPr>
          <w:sz w:val="24"/>
        </w:rPr>
        <w:t>Fixing Factory at Abbey Road has been risk assessed and relevant agreements are being put in place between the project partners (the Restart Project and Ready-Tech-Go).</w:t>
      </w:r>
    </w:p>
    <w:p w14:paraId="03B3CE25" w14:textId="5E67CDA5" w:rsidR="008C1548" w:rsidRDefault="008C1548" w:rsidP="00FD07B3">
      <w:pPr>
        <w:pStyle w:val="ListParagraph"/>
        <w:tabs>
          <w:tab w:val="left" w:pos="507"/>
        </w:tabs>
        <w:spacing w:before="121"/>
        <w:ind w:left="360" w:right="224" w:firstLine="0"/>
        <w:rPr>
          <w:sz w:val="24"/>
        </w:rPr>
      </w:pPr>
      <w:r>
        <w:rPr>
          <w:sz w:val="24"/>
        </w:rPr>
        <w:t xml:space="preserve">We are currently reviewing the </w:t>
      </w:r>
      <w:r w:rsidRPr="008C1548">
        <w:rPr>
          <w:sz w:val="24"/>
        </w:rPr>
        <w:t xml:space="preserve">current </w:t>
      </w:r>
      <w:r>
        <w:rPr>
          <w:sz w:val="24"/>
        </w:rPr>
        <w:t>H</w:t>
      </w:r>
      <w:r w:rsidR="00033AC4">
        <w:rPr>
          <w:sz w:val="24"/>
        </w:rPr>
        <w:t xml:space="preserve">ealth </w:t>
      </w:r>
      <w:r>
        <w:rPr>
          <w:sz w:val="24"/>
        </w:rPr>
        <w:t>&amp;</w:t>
      </w:r>
      <w:r w:rsidR="00033AC4">
        <w:rPr>
          <w:sz w:val="24"/>
        </w:rPr>
        <w:t xml:space="preserve"> </w:t>
      </w:r>
      <w:r>
        <w:rPr>
          <w:sz w:val="24"/>
        </w:rPr>
        <w:t>S</w:t>
      </w:r>
      <w:r w:rsidR="00033AC4">
        <w:rPr>
          <w:sz w:val="24"/>
        </w:rPr>
        <w:t>afety</w:t>
      </w:r>
      <w:r>
        <w:rPr>
          <w:sz w:val="24"/>
        </w:rPr>
        <w:t xml:space="preserve"> </w:t>
      </w:r>
      <w:r w:rsidRPr="008C1548">
        <w:rPr>
          <w:sz w:val="24"/>
        </w:rPr>
        <w:t xml:space="preserve">guidance around working with young people at Abbey Road </w:t>
      </w:r>
      <w:r>
        <w:rPr>
          <w:sz w:val="24"/>
        </w:rPr>
        <w:t xml:space="preserve">to enable us to provide opportunities (work experience, site visits/educational) for them to visit the site. This is addressed </w:t>
      </w:r>
      <w:r w:rsidR="006B65B2">
        <w:rPr>
          <w:sz w:val="24"/>
        </w:rPr>
        <w:t>in the Operations update.</w:t>
      </w:r>
    </w:p>
    <w:p w14:paraId="6CF1F16B" w14:textId="48E491A2" w:rsidR="0041713B" w:rsidRPr="008C1548" w:rsidRDefault="0041713B" w:rsidP="00FD07B3">
      <w:pPr>
        <w:pStyle w:val="ListParagraph"/>
        <w:tabs>
          <w:tab w:val="left" w:pos="507"/>
        </w:tabs>
        <w:spacing w:before="121"/>
        <w:ind w:left="360" w:right="224" w:firstLine="0"/>
        <w:rPr>
          <w:sz w:val="24"/>
        </w:rPr>
      </w:pPr>
      <w:r w:rsidRPr="008C1548">
        <w:rPr>
          <w:sz w:val="24"/>
        </w:rPr>
        <w:t>Additional Health and Safety training is being planned for the team to ensure all members are informed to a standard to help raise awareness on site visits.</w:t>
      </w:r>
    </w:p>
    <w:p w14:paraId="3E0B7238" w14:textId="75DA80AF" w:rsidR="0082498B" w:rsidRDefault="00053B29">
      <w:pPr>
        <w:pStyle w:val="ListParagraph"/>
        <w:numPr>
          <w:ilvl w:val="0"/>
          <w:numId w:val="4"/>
        </w:numPr>
        <w:tabs>
          <w:tab w:val="left" w:pos="507"/>
        </w:tabs>
        <w:spacing w:before="121"/>
        <w:ind w:left="506" w:hanging="361"/>
        <w:rPr>
          <w:sz w:val="24"/>
        </w:rPr>
      </w:pPr>
      <w:r>
        <w:rPr>
          <w:b/>
          <w:sz w:val="24"/>
        </w:rPr>
        <w:t>Legal</w:t>
      </w:r>
      <w:r>
        <w:rPr>
          <w:b/>
          <w:spacing w:val="-1"/>
          <w:sz w:val="24"/>
        </w:rPr>
        <w:t xml:space="preserve"> </w:t>
      </w:r>
      <w:r>
        <w:rPr>
          <w:b/>
          <w:sz w:val="24"/>
        </w:rPr>
        <w:t>Implications</w:t>
      </w:r>
      <w:r>
        <w:rPr>
          <w:b/>
          <w:spacing w:val="2"/>
          <w:sz w:val="24"/>
        </w:rPr>
        <w:t xml:space="preserve"> </w:t>
      </w:r>
      <w:r>
        <w:rPr>
          <w:b/>
          <w:sz w:val="24"/>
        </w:rPr>
        <w:t>-</w:t>
      </w:r>
      <w:r>
        <w:rPr>
          <w:b/>
          <w:spacing w:val="-4"/>
          <w:sz w:val="24"/>
        </w:rPr>
        <w:t xml:space="preserve"> </w:t>
      </w:r>
      <w:r w:rsidR="00FD0E69">
        <w:rPr>
          <w:sz w:val="24"/>
        </w:rPr>
        <w:t>n</w:t>
      </w:r>
      <w:r>
        <w:rPr>
          <w:sz w:val="24"/>
        </w:rPr>
        <w:t>one</w:t>
      </w:r>
    </w:p>
    <w:p w14:paraId="58299F1E" w14:textId="77777777" w:rsidR="0082498B" w:rsidRDefault="00053B29">
      <w:pPr>
        <w:pStyle w:val="ListParagraph"/>
        <w:numPr>
          <w:ilvl w:val="0"/>
          <w:numId w:val="4"/>
        </w:numPr>
        <w:tabs>
          <w:tab w:val="left" w:pos="507"/>
        </w:tabs>
        <w:ind w:left="506" w:hanging="361"/>
        <w:rPr>
          <w:sz w:val="24"/>
        </w:rPr>
      </w:pPr>
      <w:r>
        <w:rPr>
          <w:b/>
          <w:sz w:val="24"/>
        </w:rPr>
        <w:t>Joint</w:t>
      </w:r>
      <w:r>
        <w:rPr>
          <w:b/>
          <w:spacing w:val="-2"/>
          <w:sz w:val="24"/>
        </w:rPr>
        <w:t xml:space="preserve"> </w:t>
      </w:r>
      <w:r>
        <w:rPr>
          <w:b/>
          <w:sz w:val="24"/>
        </w:rPr>
        <w:t>Waste</w:t>
      </w:r>
      <w:r>
        <w:rPr>
          <w:b/>
          <w:spacing w:val="-1"/>
          <w:sz w:val="24"/>
        </w:rPr>
        <w:t xml:space="preserve"> </w:t>
      </w:r>
      <w:r>
        <w:rPr>
          <w:b/>
          <w:sz w:val="24"/>
        </w:rPr>
        <w:t>Management</w:t>
      </w:r>
      <w:r>
        <w:rPr>
          <w:b/>
          <w:spacing w:val="-3"/>
          <w:sz w:val="24"/>
        </w:rPr>
        <w:t xml:space="preserve"> </w:t>
      </w:r>
      <w:r>
        <w:rPr>
          <w:b/>
          <w:sz w:val="24"/>
        </w:rPr>
        <w:t>Strategy</w:t>
      </w:r>
    </w:p>
    <w:p w14:paraId="4FCA1FDC" w14:textId="5A3D5B65" w:rsidR="0082498B" w:rsidRDefault="00053B29">
      <w:pPr>
        <w:pStyle w:val="BodyText"/>
        <w:spacing w:before="120"/>
        <w:ind w:left="146" w:right="222"/>
        <w:jc w:val="both"/>
      </w:pPr>
      <w:r>
        <w:t>The</w:t>
      </w:r>
      <w:r>
        <w:rPr>
          <w:spacing w:val="-10"/>
        </w:rPr>
        <w:t xml:space="preserve"> </w:t>
      </w:r>
      <w:r>
        <w:t>projects</w:t>
      </w:r>
      <w:r>
        <w:rPr>
          <w:spacing w:val="-9"/>
        </w:rPr>
        <w:t xml:space="preserve"> </w:t>
      </w:r>
      <w:r>
        <w:t>mentioned</w:t>
      </w:r>
      <w:r>
        <w:rPr>
          <w:spacing w:val="-8"/>
        </w:rPr>
        <w:t xml:space="preserve"> </w:t>
      </w:r>
      <w:r>
        <w:t>in</w:t>
      </w:r>
      <w:r>
        <w:rPr>
          <w:spacing w:val="-10"/>
        </w:rPr>
        <w:t xml:space="preserve"> </w:t>
      </w:r>
      <w:r>
        <w:t>this</w:t>
      </w:r>
      <w:r>
        <w:rPr>
          <w:spacing w:val="-12"/>
        </w:rPr>
        <w:t xml:space="preserve"> </w:t>
      </w:r>
      <w:r>
        <w:t>report</w:t>
      </w:r>
      <w:r>
        <w:rPr>
          <w:spacing w:val="-9"/>
        </w:rPr>
        <w:t xml:space="preserve"> </w:t>
      </w:r>
      <w:r>
        <w:t>are</w:t>
      </w:r>
      <w:r>
        <w:rPr>
          <w:spacing w:val="-11"/>
        </w:rPr>
        <w:t xml:space="preserve"> </w:t>
      </w:r>
      <w:r>
        <w:t>intrinsically</w:t>
      </w:r>
      <w:r>
        <w:rPr>
          <w:spacing w:val="-11"/>
        </w:rPr>
        <w:t xml:space="preserve"> </w:t>
      </w:r>
      <w:r>
        <w:t>linked</w:t>
      </w:r>
      <w:r>
        <w:rPr>
          <w:spacing w:val="-8"/>
        </w:rPr>
        <w:t xml:space="preserve"> </w:t>
      </w:r>
      <w:r>
        <w:t>to</w:t>
      </w:r>
      <w:r>
        <w:rPr>
          <w:spacing w:val="-9"/>
        </w:rPr>
        <w:t xml:space="preserve"> </w:t>
      </w:r>
      <w:r>
        <w:t>the</w:t>
      </w:r>
      <w:r>
        <w:rPr>
          <w:spacing w:val="-9"/>
        </w:rPr>
        <w:t xml:space="preserve"> </w:t>
      </w:r>
      <w:r>
        <w:t>Authority’s</w:t>
      </w:r>
      <w:r>
        <w:rPr>
          <w:spacing w:val="-9"/>
        </w:rPr>
        <w:t xml:space="preserve"> </w:t>
      </w:r>
      <w:r>
        <w:t>Joint</w:t>
      </w:r>
      <w:r>
        <w:rPr>
          <w:spacing w:val="-14"/>
        </w:rPr>
        <w:t xml:space="preserve"> </w:t>
      </w:r>
      <w:r>
        <w:t>Waste</w:t>
      </w:r>
      <w:r>
        <w:rPr>
          <w:spacing w:val="-13"/>
        </w:rPr>
        <w:t xml:space="preserve"> </w:t>
      </w:r>
      <w:r>
        <w:t>Management</w:t>
      </w:r>
      <w:r>
        <w:rPr>
          <w:spacing w:val="-64"/>
        </w:rPr>
        <w:t xml:space="preserve"> </w:t>
      </w:r>
      <w:r>
        <w:t>Strategy. The projects are driving the design of the new policy through data, best practice and</w:t>
      </w:r>
      <w:r>
        <w:rPr>
          <w:spacing w:val="1"/>
        </w:rPr>
        <w:t xml:space="preserve"> </w:t>
      </w:r>
      <w:r>
        <w:lastRenderedPageBreak/>
        <w:t>identification</w:t>
      </w:r>
      <w:r>
        <w:rPr>
          <w:spacing w:val="-8"/>
        </w:rPr>
        <w:t xml:space="preserve"> </w:t>
      </w:r>
      <w:r>
        <w:t>of</w:t>
      </w:r>
      <w:r>
        <w:rPr>
          <w:spacing w:val="-6"/>
        </w:rPr>
        <w:t xml:space="preserve"> </w:t>
      </w:r>
      <w:r>
        <w:t>opportunities</w:t>
      </w:r>
      <w:r w:rsidR="00A87979">
        <w:t>,</w:t>
      </w:r>
      <w:r>
        <w:rPr>
          <w:spacing w:val="-9"/>
        </w:rPr>
        <w:t xml:space="preserve"> </w:t>
      </w:r>
      <w:r>
        <w:t>as</w:t>
      </w:r>
      <w:r>
        <w:rPr>
          <w:spacing w:val="-9"/>
        </w:rPr>
        <w:t xml:space="preserve"> </w:t>
      </w:r>
      <w:r>
        <w:t>well</w:t>
      </w:r>
      <w:r>
        <w:rPr>
          <w:spacing w:val="-8"/>
        </w:rPr>
        <w:t xml:space="preserve"> </w:t>
      </w:r>
      <w:r>
        <w:t>as</w:t>
      </w:r>
      <w:r>
        <w:rPr>
          <w:spacing w:val="-7"/>
        </w:rPr>
        <w:t xml:space="preserve"> </w:t>
      </w:r>
      <w:r>
        <w:t>delivering</w:t>
      </w:r>
      <w:r>
        <w:rPr>
          <w:spacing w:val="-7"/>
        </w:rPr>
        <w:t xml:space="preserve"> </w:t>
      </w:r>
      <w:r>
        <w:t>change</w:t>
      </w:r>
      <w:r>
        <w:rPr>
          <w:spacing w:val="-8"/>
        </w:rPr>
        <w:t xml:space="preserve"> </w:t>
      </w:r>
      <w:r>
        <w:t>to</w:t>
      </w:r>
      <w:r>
        <w:rPr>
          <w:spacing w:val="-10"/>
        </w:rPr>
        <w:t xml:space="preserve"> </w:t>
      </w:r>
      <w:r>
        <w:t>meet</w:t>
      </w:r>
      <w:r>
        <w:rPr>
          <w:spacing w:val="-6"/>
        </w:rPr>
        <w:t xml:space="preserve"> </w:t>
      </w:r>
      <w:r>
        <w:t>the</w:t>
      </w:r>
      <w:r>
        <w:rPr>
          <w:spacing w:val="-8"/>
        </w:rPr>
        <w:t xml:space="preserve"> </w:t>
      </w:r>
      <w:r>
        <w:t>desired</w:t>
      </w:r>
      <w:r>
        <w:rPr>
          <w:spacing w:val="-8"/>
        </w:rPr>
        <w:t xml:space="preserve"> </w:t>
      </w:r>
      <w:r>
        <w:t>outcomes</w:t>
      </w:r>
      <w:r>
        <w:rPr>
          <w:spacing w:val="-8"/>
        </w:rPr>
        <w:t xml:space="preserve"> </w:t>
      </w:r>
      <w:r>
        <w:t>and</w:t>
      </w:r>
      <w:r>
        <w:rPr>
          <w:spacing w:val="-8"/>
        </w:rPr>
        <w:t xml:space="preserve"> </w:t>
      </w:r>
      <w:r>
        <w:t>targets</w:t>
      </w:r>
      <w:r>
        <w:rPr>
          <w:spacing w:val="-6"/>
        </w:rPr>
        <w:t xml:space="preserve"> </w:t>
      </w:r>
      <w:r>
        <w:t>in</w:t>
      </w:r>
      <w:r>
        <w:rPr>
          <w:spacing w:val="-64"/>
        </w:rPr>
        <w:t xml:space="preserve"> </w:t>
      </w:r>
      <w:r>
        <w:t>the</w:t>
      </w:r>
      <w:r>
        <w:rPr>
          <w:spacing w:val="-1"/>
        </w:rPr>
        <w:t xml:space="preserve"> </w:t>
      </w:r>
      <w:r>
        <w:t>Strategy.</w:t>
      </w:r>
    </w:p>
    <w:p w14:paraId="7EE80E4D" w14:textId="77777777" w:rsidR="003B531D" w:rsidRDefault="003B531D">
      <w:pPr>
        <w:pStyle w:val="BodyText"/>
        <w:spacing w:before="120"/>
        <w:ind w:left="146" w:right="222"/>
        <w:jc w:val="both"/>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0048993F" w:rsidR="0082498B" w:rsidRDefault="00053B29">
            <w:pPr>
              <w:pStyle w:val="TableParagraph"/>
              <w:tabs>
                <w:tab w:val="right" w:pos="6687"/>
              </w:tabs>
              <w:spacing w:line="274" w:lineRule="exact"/>
              <w:ind w:left="107"/>
              <w:rPr>
                <w:rFonts w:ascii="Arial"/>
                <w:sz w:val="24"/>
              </w:rPr>
            </w:pPr>
            <w:r>
              <w:rPr>
                <w:rFonts w:ascii="Arial"/>
                <w:sz w:val="24"/>
              </w:rPr>
              <w:t>Peter</w:t>
            </w:r>
            <w:r>
              <w:rPr>
                <w:rFonts w:ascii="Arial"/>
                <w:spacing w:val="-4"/>
                <w:sz w:val="24"/>
              </w:rPr>
              <w:t xml:space="preserve"> </w:t>
            </w:r>
            <w:r>
              <w:rPr>
                <w:rFonts w:ascii="Arial"/>
                <w:sz w:val="24"/>
              </w:rPr>
              <w:t>Tilston, Projects</w:t>
            </w:r>
            <w:r>
              <w:rPr>
                <w:rFonts w:ascii="Arial"/>
                <w:spacing w:val="-2"/>
                <w:sz w:val="24"/>
              </w:rPr>
              <w:t xml:space="preserve"> </w:t>
            </w:r>
            <w:r>
              <w:rPr>
                <w:rFonts w:ascii="Arial"/>
                <w:sz w:val="24"/>
              </w:rPr>
              <w:t>Director</w:t>
            </w:r>
            <w:r w:rsidR="00125936">
              <w:rPr>
                <w:rFonts w:ascii="Arial"/>
                <w:sz w:val="24"/>
              </w:rPr>
              <w:t xml:space="preserve">                            </w:t>
            </w:r>
            <w:r w:rsidR="00125936" w:rsidRPr="00125936">
              <w:rPr>
                <w:rFonts w:ascii="Arial"/>
                <w:sz w:val="24"/>
              </w:rPr>
              <w:t>07796 271</w:t>
            </w:r>
            <w:r w:rsidR="00125936">
              <w:rPr>
                <w:rFonts w:ascii="Arial"/>
                <w:sz w:val="24"/>
              </w:rPr>
              <w:t xml:space="preserve"> </w:t>
            </w:r>
            <w:r w:rsidR="00125936" w:rsidRPr="00125936">
              <w:rPr>
                <w:rFonts w:ascii="Arial"/>
                <w:sz w:val="24"/>
              </w:rPr>
              <w:t>713</w:t>
            </w:r>
          </w:p>
          <w:p w14:paraId="102C444C" w14:textId="71CAAAD4" w:rsidR="0082498B" w:rsidRDefault="00784590">
            <w:pPr>
              <w:pStyle w:val="TableParagraph"/>
              <w:ind w:left="107"/>
              <w:rPr>
                <w:rFonts w:ascii="Arial"/>
                <w:color w:val="0000FF"/>
                <w:sz w:val="24"/>
                <w:u w:val="single" w:color="0000FF"/>
              </w:rPr>
            </w:pPr>
            <w:hyperlink r:id="rId13">
              <w:r w:rsidR="00053B29">
                <w:rPr>
                  <w:rFonts w:ascii="Arial"/>
                  <w:color w:val="0000FF"/>
                  <w:sz w:val="24"/>
                  <w:u w:val="single" w:color="0000FF"/>
                </w:rPr>
                <w:t>petertilston@westlondonwaste.gov.uk</w:t>
              </w:r>
            </w:hyperlink>
          </w:p>
          <w:p w14:paraId="07086847" w14:textId="77777777" w:rsidR="00A87979" w:rsidRDefault="00A87979">
            <w:pPr>
              <w:pStyle w:val="TableParagraph"/>
              <w:ind w:left="107"/>
              <w:rPr>
                <w:rFonts w:ascii="Arial"/>
                <w:sz w:val="24"/>
              </w:rPr>
            </w:pPr>
          </w:p>
          <w:p w14:paraId="0F6C3DA1" w14:textId="148382A0" w:rsidR="009A39DA" w:rsidRDefault="009A39DA">
            <w:pPr>
              <w:pStyle w:val="TableParagraph"/>
              <w:ind w:left="107"/>
              <w:rPr>
                <w:rFonts w:ascii="Arial"/>
                <w:sz w:val="24"/>
              </w:rPr>
            </w:pPr>
            <w:r>
              <w:rPr>
                <w:rFonts w:ascii="Arial"/>
                <w:sz w:val="24"/>
              </w:rPr>
              <w:t xml:space="preserve">Motoko Doolan, </w:t>
            </w:r>
            <w:r w:rsidR="00125936">
              <w:rPr>
                <w:rFonts w:ascii="Arial"/>
                <w:sz w:val="24"/>
              </w:rPr>
              <w:t xml:space="preserve">Net Zero </w:t>
            </w:r>
            <w:r>
              <w:rPr>
                <w:rFonts w:ascii="Arial"/>
                <w:sz w:val="24"/>
              </w:rPr>
              <w:t>Carbon Manager</w:t>
            </w:r>
            <w:r w:rsidR="00125936">
              <w:rPr>
                <w:rFonts w:ascii="Arial"/>
                <w:sz w:val="24"/>
              </w:rPr>
              <w:t xml:space="preserve">        </w:t>
            </w:r>
            <w:r w:rsidR="00125936" w:rsidRPr="00125936">
              <w:rPr>
                <w:rFonts w:ascii="Arial"/>
                <w:sz w:val="24"/>
              </w:rPr>
              <w:t xml:space="preserve">07917 075 876  </w:t>
            </w:r>
          </w:p>
          <w:p w14:paraId="361EBBE3" w14:textId="1BD56753" w:rsidR="009A39DA" w:rsidRDefault="00784590">
            <w:pPr>
              <w:pStyle w:val="TableParagraph"/>
              <w:ind w:left="107"/>
              <w:rPr>
                <w:rFonts w:ascii="Arial"/>
                <w:sz w:val="24"/>
              </w:rPr>
            </w:pPr>
            <w:hyperlink r:id="rId14" w:history="1">
              <w:r w:rsidR="009A39DA" w:rsidRPr="006D3388">
                <w:rPr>
                  <w:rStyle w:val="Hyperlink"/>
                  <w:rFonts w:ascii="Arial"/>
                  <w:sz w:val="24"/>
                </w:rPr>
                <w:t>motokodoolan@westlondonwaste.gov.uk</w:t>
              </w:r>
            </w:hyperlink>
            <w:r w:rsidR="009A39DA">
              <w:rPr>
                <w:rFonts w:ascii="Arial"/>
                <w:sz w:val="24"/>
              </w:rPr>
              <w:t xml:space="preserve"> </w:t>
            </w:r>
          </w:p>
          <w:p w14:paraId="794AC5FB" w14:textId="77777777" w:rsidR="009A39DA" w:rsidRDefault="009A39DA">
            <w:pPr>
              <w:pStyle w:val="TableParagraph"/>
              <w:ind w:left="107"/>
              <w:rPr>
                <w:rFonts w:ascii="Arial"/>
                <w:sz w:val="24"/>
              </w:rPr>
            </w:pPr>
          </w:p>
          <w:p w14:paraId="1A280A94" w14:textId="7C2BB77C" w:rsidR="000B5E6A" w:rsidRDefault="000B5E6A">
            <w:pPr>
              <w:pStyle w:val="TableParagraph"/>
              <w:ind w:left="107"/>
              <w:rPr>
                <w:rFonts w:ascii="Arial"/>
                <w:sz w:val="24"/>
              </w:rPr>
            </w:pPr>
            <w:r>
              <w:rPr>
                <w:rFonts w:ascii="Arial"/>
                <w:sz w:val="24"/>
              </w:rPr>
              <w:t>Sarah Ellis,</w:t>
            </w:r>
            <w:r w:rsidR="00802C97">
              <w:rPr>
                <w:rFonts w:ascii="Arial"/>
                <w:sz w:val="24"/>
              </w:rPr>
              <w:t xml:space="preserve"> Strategic Development Lead</w:t>
            </w:r>
            <w:r>
              <w:rPr>
                <w:rFonts w:ascii="Arial"/>
                <w:sz w:val="24"/>
              </w:rPr>
              <w:tab/>
              <w:t xml:space="preserve">  07584 631</w:t>
            </w:r>
            <w:r w:rsidR="00125936">
              <w:rPr>
                <w:rFonts w:ascii="Arial"/>
                <w:sz w:val="24"/>
              </w:rPr>
              <w:t xml:space="preserve"> </w:t>
            </w:r>
            <w:r>
              <w:rPr>
                <w:rFonts w:ascii="Arial"/>
                <w:sz w:val="24"/>
              </w:rPr>
              <w:t>710</w:t>
            </w:r>
          </w:p>
          <w:p w14:paraId="07F1EDAF" w14:textId="16BAFA7E" w:rsidR="0082498B" w:rsidRDefault="00784590" w:rsidP="001C6144">
            <w:pPr>
              <w:pStyle w:val="TableParagraph"/>
              <w:ind w:left="107"/>
              <w:rPr>
                <w:rFonts w:ascii="Arial"/>
                <w:sz w:val="24"/>
              </w:rPr>
            </w:pPr>
            <w:hyperlink r:id="rId15" w:history="1">
              <w:r w:rsidR="000B5E6A" w:rsidRPr="006817F8">
                <w:rPr>
                  <w:rStyle w:val="Hyperlink"/>
                  <w:rFonts w:ascii="Arial"/>
                  <w:sz w:val="24"/>
                </w:rPr>
                <w:t>sarahellis@westlondonwaste.gov.uk</w:t>
              </w:r>
            </w:hyperlink>
            <w:r w:rsidR="000B5E6A">
              <w:rPr>
                <w:rFonts w:ascii="Arial"/>
                <w:sz w:val="24"/>
              </w:rPr>
              <w:tab/>
            </w:r>
            <w:r w:rsidR="000B5E6A">
              <w:rPr>
                <w:rFonts w:ascii="Arial"/>
                <w:sz w:val="24"/>
              </w:rPr>
              <w:tab/>
            </w:r>
          </w:p>
        </w:tc>
      </w:tr>
    </w:tbl>
    <w:p w14:paraId="330CFC24" w14:textId="21797B1E" w:rsidR="009F4EAF" w:rsidRDefault="009F4EAF" w:rsidP="00116D8D">
      <w:pPr>
        <w:spacing w:before="63"/>
      </w:pPr>
    </w:p>
    <w:sectPr w:rsidR="009F4EAF" w:rsidSect="00401732">
      <w:pgSz w:w="11910" w:h="16850"/>
      <w:pgMar w:top="1280" w:right="460" w:bottom="993" w:left="4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20B7450F"/>
    <w:multiLevelType w:val="hybridMultilevel"/>
    <w:tmpl w:val="177C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9"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10"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9"/>
  </w:num>
  <w:num w:numId="2">
    <w:abstractNumId w:val="1"/>
  </w:num>
  <w:num w:numId="3">
    <w:abstractNumId w:val="10"/>
  </w:num>
  <w:num w:numId="4">
    <w:abstractNumId w:val="2"/>
  </w:num>
  <w:num w:numId="5">
    <w:abstractNumId w:val="8"/>
  </w:num>
  <w:num w:numId="6">
    <w:abstractNumId w:val="6"/>
  </w:num>
  <w:num w:numId="7">
    <w:abstractNumId w:val="0"/>
  </w:num>
  <w:num w:numId="8">
    <w:abstractNumId w:val="4"/>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58D9"/>
    <w:rsid w:val="00033AC4"/>
    <w:rsid w:val="000420D5"/>
    <w:rsid w:val="00053B29"/>
    <w:rsid w:val="0005472C"/>
    <w:rsid w:val="00057DE8"/>
    <w:rsid w:val="00071EA5"/>
    <w:rsid w:val="000754CF"/>
    <w:rsid w:val="000835B7"/>
    <w:rsid w:val="00087CF9"/>
    <w:rsid w:val="000B5E6A"/>
    <w:rsid w:val="000E6BA2"/>
    <w:rsid w:val="000F6FD3"/>
    <w:rsid w:val="001018C7"/>
    <w:rsid w:val="00107A34"/>
    <w:rsid w:val="001121DC"/>
    <w:rsid w:val="00116D8D"/>
    <w:rsid w:val="00125936"/>
    <w:rsid w:val="001507CA"/>
    <w:rsid w:val="00156E2F"/>
    <w:rsid w:val="00160ACC"/>
    <w:rsid w:val="001844B4"/>
    <w:rsid w:val="0019022F"/>
    <w:rsid w:val="001905CE"/>
    <w:rsid w:val="001B72B7"/>
    <w:rsid w:val="001C6144"/>
    <w:rsid w:val="002C10DA"/>
    <w:rsid w:val="002C14A4"/>
    <w:rsid w:val="002C7E23"/>
    <w:rsid w:val="002E2702"/>
    <w:rsid w:val="003145CD"/>
    <w:rsid w:val="003421EF"/>
    <w:rsid w:val="003828A1"/>
    <w:rsid w:val="003A3688"/>
    <w:rsid w:val="003B531D"/>
    <w:rsid w:val="003F0548"/>
    <w:rsid w:val="00400659"/>
    <w:rsid w:val="00401732"/>
    <w:rsid w:val="0040493F"/>
    <w:rsid w:val="0041713B"/>
    <w:rsid w:val="00456DAD"/>
    <w:rsid w:val="004E048A"/>
    <w:rsid w:val="00525BC1"/>
    <w:rsid w:val="00530844"/>
    <w:rsid w:val="005C449A"/>
    <w:rsid w:val="005D47E7"/>
    <w:rsid w:val="005E7D66"/>
    <w:rsid w:val="005F2AEB"/>
    <w:rsid w:val="005F6A6D"/>
    <w:rsid w:val="0060215A"/>
    <w:rsid w:val="0062559A"/>
    <w:rsid w:val="00627F6E"/>
    <w:rsid w:val="00631F90"/>
    <w:rsid w:val="00660612"/>
    <w:rsid w:val="00666173"/>
    <w:rsid w:val="00674514"/>
    <w:rsid w:val="006844AF"/>
    <w:rsid w:val="00690255"/>
    <w:rsid w:val="006B65B2"/>
    <w:rsid w:val="006F5900"/>
    <w:rsid w:val="006F7861"/>
    <w:rsid w:val="00702D1E"/>
    <w:rsid w:val="00745AAA"/>
    <w:rsid w:val="007502F7"/>
    <w:rsid w:val="00761CEC"/>
    <w:rsid w:val="00784590"/>
    <w:rsid w:val="007C1928"/>
    <w:rsid w:val="007C2406"/>
    <w:rsid w:val="007D1818"/>
    <w:rsid w:val="007D46AF"/>
    <w:rsid w:val="007E24EA"/>
    <w:rsid w:val="007E6A83"/>
    <w:rsid w:val="00802C97"/>
    <w:rsid w:val="00803C39"/>
    <w:rsid w:val="00805395"/>
    <w:rsid w:val="0082498B"/>
    <w:rsid w:val="0082603A"/>
    <w:rsid w:val="00847B0C"/>
    <w:rsid w:val="008508FD"/>
    <w:rsid w:val="00866306"/>
    <w:rsid w:val="00870A28"/>
    <w:rsid w:val="008746CA"/>
    <w:rsid w:val="00887DF7"/>
    <w:rsid w:val="008B63CC"/>
    <w:rsid w:val="008C1548"/>
    <w:rsid w:val="008C6EC6"/>
    <w:rsid w:val="008C7138"/>
    <w:rsid w:val="008E5CF0"/>
    <w:rsid w:val="0092510B"/>
    <w:rsid w:val="00927CB5"/>
    <w:rsid w:val="009723F5"/>
    <w:rsid w:val="009A39DA"/>
    <w:rsid w:val="009B526D"/>
    <w:rsid w:val="009F4EAF"/>
    <w:rsid w:val="00A050A2"/>
    <w:rsid w:val="00A14497"/>
    <w:rsid w:val="00A1676D"/>
    <w:rsid w:val="00A34E95"/>
    <w:rsid w:val="00A535D8"/>
    <w:rsid w:val="00A71864"/>
    <w:rsid w:val="00A86707"/>
    <w:rsid w:val="00A87979"/>
    <w:rsid w:val="00A942D4"/>
    <w:rsid w:val="00AA23B4"/>
    <w:rsid w:val="00AA7B92"/>
    <w:rsid w:val="00AB3F11"/>
    <w:rsid w:val="00AC4D11"/>
    <w:rsid w:val="00AD657F"/>
    <w:rsid w:val="00B236CE"/>
    <w:rsid w:val="00B701F1"/>
    <w:rsid w:val="00B90233"/>
    <w:rsid w:val="00B92670"/>
    <w:rsid w:val="00B926A1"/>
    <w:rsid w:val="00BB7A6F"/>
    <w:rsid w:val="00BD6499"/>
    <w:rsid w:val="00BF7E3F"/>
    <w:rsid w:val="00C03FAE"/>
    <w:rsid w:val="00C23329"/>
    <w:rsid w:val="00C54D4C"/>
    <w:rsid w:val="00C56E32"/>
    <w:rsid w:val="00C75A47"/>
    <w:rsid w:val="00C76B1F"/>
    <w:rsid w:val="00C82023"/>
    <w:rsid w:val="00C82C32"/>
    <w:rsid w:val="00CA5D99"/>
    <w:rsid w:val="00CE3516"/>
    <w:rsid w:val="00D05240"/>
    <w:rsid w:val="00D05ECC"/>
    <w:rsid w:val="00D32CB5"/>
    <w:rsid w:val="00D712C2"/>
    <w:rsid w:val="00DA2400"/>
    <w:rsid w:val="00DB2CF1"/>
    <w:rsid w:val="00DC072D"/>
    <w:rsid w:val="00DC32F0"/>
    <w:rsid w:val="00DD651F"/>
    <w:rsid w:val="00DF59DD"/>
    <w:rsid w:val="00E0168F"/>
    <w:rsid w:val="00E0665A"/>
    <w:rsid w:val="00E172CA"/>
    <w:rsid w:val="00E261E4"/>
    <w:rsid w:val="00E311F8"/>
    <w:rsid w:val="00E669C1"/>
    <w:rsid w:val="00E85EF8"/>
    <w:rsid w:val="00E90694"/>
    <w:rsid w:val="00E96DAB"/>
    <w:rsid w:val="00EC4F54"/>
    <w:rsid w:val="00EE0B55"/>
    <w:rsid w:val="00EE2B11"/>
    <w:rsid w:val="00EF453B"/>
    <w:rsid w:val="00F25D32"/>
    <w:rsid w:val="00F26A6C"/>
    <w:rsid w:val="00F71189"/>
    <w:rsid w:val="00FA49F6"/>
    <w:rsid w:val="00FB5A55"/>
    <w:rsid w:val="00FC6847"/>
    <w:rsid w:val="00FD07B3"/>
    <w:rsid w:val="00FD0E69"/>
    <w:rsid w:val="00FE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semiHidden/>
    <w:unhideWhenUsed/>
    <w:rsid w:val="00E261E4"/>
    <w:rPr>
      <w:sz w:val="20"/>
      <w:szCs w:val="20"/>
    </w:rPr>
  </w:style>
  <w:style w:type="character" w:customStyle="1" w:styleId="CommentTextChar">
    <w:name w:val="Comment Text Char"/>
    <w:basedOn w:val="DefaultParagraphFont"/>
    <w:link w:val="CommentText"/>
    <w:uiPriority w:val="99"/>
    <w:semiHidden/>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Revision">
    <w:name w:val="Revision"/>
    <w:hidden/>
    <w:uiPriority w:val="99"/>
    <w:semiHidden/>
    <w:rsid w:val="006B65B2"/>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tilston@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restartproject.org/news/west-london-expan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xingfactory.org/visit/brent" TargetMode="External"/><Relationship Id="rId5" Type="http://schemas.openxmlformats.org/officeDocument/2006/relationships/numbering" Target="numbering.xml"/><Relationship Id="rId15" Type="http://schemas.openxmlformats.org/officeDocument/2006/relationships/hyperlink" Target="mailto:sarahellis@westlondonwaste.gov.uk" TargetMode="External"/><Relationship Id="rId10" Type="http://schemas.openxmlformats.org/officeDocument/2006/relationships/image" Target="media/image1.21BD7C00"/><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hyperlink" Target="mailto:motokodoolan@westlondonwaste.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LW-FP01\WLWA-DATA\Projects%20Team\Data%20requests\Borough%20kghhwk%20various%20streams%20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baseline="0"/>
              <a:t>2021/22 - where residents put their food waste</a:t>
            </a:r>
            <a:endParaRPr lang="en-GB"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'Food graphs'!$B$20</c:f>
              <c:strCache>
                <c:ptCount val="1"/>
                <c:pt idx="0">
                  <c:v>Food in residual (kg/hh/wk)</c:v>
                </c:pt>
              </c:strCache>
            </c:strRef>
          </c:tx>
          <c:spPr>
            <a:solidFill>
              <a:schemeClr val="tx1"/>
            </a:solidFill>
            <a:ln>
              <a:noFill/>
            </a:ln>
            <a:effectLst/>
          </c:spPr>
          <c:invertIfNegative val="0"/>
          <c:cat>
            <c:strRef>
              <c:f>'Food graphs'!$A$21:$A$27</c:f>
              <c:strCache>
                <c:ptCount val="7"/>
                <c:pt idx="0">
                  <c:v>Brent</c:v>
                </c:pt>
                <c:pt idx="1">
                  <c:v>Ealing</c:v>
                </c:pt>
                <c:pt idx="2">
                  <c:v>Harrow</c:v>
                </c:pt>
                <c:pt idx="3">
                  <c:v>Hillingdon</c:v>
                </c:pt>
                <c:pt idx="4">
                  <c:v>Hounslow</c:v>
                </c:pt>
                <c:pt idx="5">
                  <c:v>Richmond</c:v>
                </c:pt>
                <c:pt idx="6">
                  <c:v>WLWA 21/22</c:v>
                </c:pt>
              </c:strCache>
            </c:strRef>
          </c:cat>
          <c:val>
            <c:numRef>
              <c:f>'Food graphs'!$B$21:$B$27</c:f>
              <c:numCache>
                <c:formatCode>#,##0.00</c:formatCode>
                <c:ptCount val="7"/>
                <c:pt idx="0">
                  <c:v>1.9250067655786602</c:v>
                </c:pt>
                <c:pt idx="1">
                  <c:v>3.0426360162803436</c:v>
                </c:pt>
                <c:pt idx="2">
                  <c:v>2.4353451953790239</c:v>
                </c:pt>
                <c:pt idx="3">
                  <c:v>3.6071700540875486</c:v>
                </c:pt>
                <c:pt idx="4">
                  <c:v>3.2247807379053395</c:v>
                </c:pt>
                <c:pt idx="5">
                  <c:v>2.9967771935488021</c:v>
                </c:pt>
                <c:pt idx="6">
                  <c:v>2.8719526604632866</c:v>
                </c:pt>
              </c:numCache>
            </c:numRef>
          </c:val>
          <c:extLst>
            <c:ext xmlns:c16="http://schemas.microsoft.com/office/drawing/2014/chart" uri="{C3380CC4-5D6E-409C-BE32-E72D297353CC}">
              <c16:uniqueId val="{00000000-52BD-45C3-9FFA-79CCF20D8E70}"/>
            </c:ext>
          </c:extLst>
        </c:ser>
        <c:ser>
          <c:idx val="1"/>
          <c:order val="1"/>
          <c:tx>
            <c:strRef>
              <c:f>'Food graphs'!$C$20</c:f>
              <c:strCache>
                <c:ptCount val="1"/>
                <c:pt idx="0">
                  <c:v>Food collected in recycling (kg/hh/wk)</c:v>
                </c:pt>
              </c:strCache>
            </c:strRef>
          </c:tx>
          <c:spPr>
            <a:solidFill>
              <a:schemeClr val="accent3">
                <a:lumMod val="40000"/>
                <a:lumOff val="60000"/>
              </a:schemeClr>
            </a:solidFill>
            <a:ln>
              <a:noFill/>
            </a:ln>
            <a:effectLst/>
          </c:spPr>
          <c:invertIfNegative val="0"/>
          <c:cat>
            <c:strRef>
              <c:f>'Food graphs'!$A$21:$A$27</c:f>
              <c:strCache>
                <c:ptCount val="7"/>
                <c:pt idx="0">
                  <c:v>Brent</c:v>
                </c:pt>
                <c:pt idx="1">
                  <c:v>Ealing</c:v>
                </c:pt>
                <c:pt idx="2">
                  <c:v>Harrow</c:v>
                </c:pt>
                <c:pt idx="3">
                  <c:v>Hillingdon</c:v>
                </c:pt>
                <c:pt idx="4">
                  <c:v>Hounslow</c:v>
                </c:pt>
                <c:pt idx="5">
                  <c:v>Richmond</c:v>
                </c:pt>
                <c:pt idx="6">
                  <c:v>WLWA 21/22</c:v>
                </c:pt>
              </c:strCache>
            </c:strRef>
          </c:cat>
          <c:val>
            <c:numRef>
              <c:f>'Food graphs'!$C$21:$C$27</c:f>
              <c:numCache>
                <c:formatCode>#,##0.00</c:formatCode>
                <c:ptCount val="7"/>
                <c:pt idx="0">
                  <c:v>1.0841815384615385</c:v>
                </c:pt>
                <c:pt idx="1">
                  <c:v>1.1059222027972029</c:v>
                </c:pt>
                <c:pt idx="2">
                  <c:v>1.3804311278813466</c:v>
                </c:pt>
                <c:pt idx="3">
                  <c:v>0.53149928774928779</c:v>
                </c:pt>
                <c:pt idx="4">
                  <c:v>1.1393298994900067</c:v>
                </c:pt>
                <c:pt idx="5">
                  <c:v>0.66317407286686947</c:v>
                </c:pt>
                <c:pt idx="6">
                  <c:v>0.9840896882077087</c:v>
                </c:pt>
              </c:numCache>
            </c:numRef>
          </c:val>
          <c:extLst>
            <c:ext xmlns:c16="http://schemas.microsoft.com/office/drawing/2014/chart" uri="{C3380CC4-5D6E-409C-BE32-E72D297353CC}">
              <c16:uniqueId val="{00000001-52BD-45C3-9FFA-79CCF20D8E70}"/>
            </c:ext>
          </c:extLst>
        </c:ser>
        <c:dLbls>
          <c:showLegendKey val="0"/>
          <c:showVal val="0"/>
          <c:showCatName val="0"/>
          <c:showSerName val="0"/>
          <c:showPercent val="0"/>
          <c:showBubbleSize val="0"/>
        </c:dLbls>
        <c:gapWidth val="50"/>
        <c:overlap val="100"/>
        <c:axId val="434596079"/>
        <c:axId val="434596495"/>
      </c:barChart>
      <c:scatterChart>
        <c:scatterStyle val="lineMarker"/>
        <c:varyColors val="0"/>
        <c:ser>
          <c:idx val="2"/>
          <c:order val="2"/>
          <c:tx>
            <c:strRef>
              <c:f>'Food graphs'!$D$20</c:f>
              <c:strCache>
                <c:ptCount val="1"/>
                <c:pt idx="0">
                  <c:v>Food capture rate (Avg %)</c:v>
                </c:pt>
              </c:strCache>
            </c:strRef>
          </c:tx>
          <c:spPr>
            <a:ln w="25400" cap="rnd">
              <a:solidFill>
                <a:schemeClr val="bg1">
                  <a:lumMod val="50000"/>
                </a:schemeClr>
              </a:solidFill>
              <a:round/>
            </a:ln>
            <a:effectLst/>
          </c:spPr>
          <c:marker>
            <c:symbol val="circle"/>
            <c:size val="5"/>
            <c:spPr>
              <a:solidFill>
                <a:schemeClr val="tx1"/>
              </a:solidFill>
              <a:ln w="9525">
                <a:solidFill>
                  <a:schemeClr val="accent3"/>
                </a:solidFill>
              </a:ln>
              <a:effectLst/>
            </c:spPr>
          </c:marker>
          <c:xVal>
            <c:strRef>
              <c:f>'Food graphs'!$A$21:$A$27</c:f>
              <c:strCache>
                <c:ptCount val="7"/>
                <c:pt idx="0">
                  <c:v>Brent</c:v>
                </c:pt>
                <c:pt idx="1">
                  <c:v>Ealing</c:v>
                </c:pt>
                <c:pt idx="2">
                  <c:v>Harrow</c:v>
                </c:pt>
                <c:pt idx="3">
                  <c:v>Hillingdon</c:v>
                </c:pt>
                <c:pt idx="4">
                  <c:v>Hounslow</c:v>
                </c:pt>
                <c:pt idx="5">
                  <c:v>Richmond</c:v>
                </c:pt>
                <c:pt idx="6">
                  <c:v>WLWA 21/22</c:v>
                </c:pt>
              </c:strCache>
            </c:strRef>
          </c:xVal>
          <c:yVal>
            <c:numRef>
              <c:f>'Food graphs'!$D$21:$D$27</c:f>
              <c:numCache>
                <c:formatCode>0%</c:formatCode>
                <c:ptCount val="7"/>
                <c:pt idx="0">
                  <c:v>0.36029036036259143</c:v>
                </c:pt>
                <c:pt idx="1">
                  <c:v>0.26657989219278944</c:v>
                </c:pt>
                <c:pt idx="2">
                  <c:v>0.36176940442406336</c:v>
                </c:pt>
                <c:pt idx="3">
                  <c:v>0.12842274747017993</c:v>
                </c:pt>
                <c:pt idx="4">
                  <c:v>0.26698097335824295</c:v>
                </c:pt>
                <c:pt idx="5">
                  <c:v>0.18752172530922606</c:v>
                </c:pt>
                <c:pt idx="6">
                  <c:v>0.26192751718618218</c:v>
                </c:pt>
              </c:numCache>
            </c:numRef>
          </c:yVal>
          <c:smooth val="0"/>
          <c:extLst>
            <c:ext xmlns:c16="http://schemas.microsoft.com/office/drawing/2014/chart" uri="{C3380CC4-5D6E-409C-BE32-E72D297353CC}">
              <c16:uniqueId val="{00000002-52BD-45C3-9FFA-79CCF20D8E70}"/>
            </c:ext>
          </c:extLst>
        </c:ser>
        <c:dLbls>
          <c:showLegendKey val="0"/>
          <c:showVal val="0"/>
          <c:showCatName val="0"/>
          <c:showSerName val="0"/>
          <c:showPercent val="0"/>
          <c:showBubbleSize val="0"/>
        </c:dLbls>
        <c:axId val="434589007"/>
        <c:axId val="434583599"/>
      </c:scatterChart>
      <c:catAx>
        <c:axId val="434596079"/>
        <c:scaling>
          <c:orientation val="minMax"/>
        </c:scaling>
        <c:delete val="1"/>
        <c:axPos val="b"/>
        <c:numFmt formatCode="General" sourceLinked="1"/>
        <c:majorTickMark val="none"/>
        <c:minorTickMark val="none"/>
        <c:tickLblPos val="nextTo"/>
        <c:crossAx val="434596495"/>
        <c:crosses val="autoZero"/>
        <c:auto val="1"/>
        <c:lblAlgn val="ctr"/>
        <c:lblOffset val="100"/>
        <c:noMultiLvlLbl val="0"/>
      </c:catAx>
      <c:valAx>
        <c:axId val="434596495"/>
        <c:scaling>
          <c:orientation val="minMax"/>
          <c:max val="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kg/household/week</a:t>
                </a:r>
              </a:p>
            </c:rich>
          </c:tx>
          <c:layout>
            <c:manualLayout>
              <c:xMode val="edge"/>
              <c:yMode val="edge"/>
              <c:x val="1.1408201778451824E-2"/>
              <c:y val="0.139883766843521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596079"/>
        <c:crosses val="autoZero"/>
        <c:crossBetween val="between"/>
      </c:valAx>
      <c:valAx>
        <c:axId val="434583599"/>
        <c:scaling>
          <c:orientation val="minMax"/>
          <c:max val="0.4"/>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Capture</a:t>
                </a:r>
                <a:r>
                  <a:rPr lang="en-GB" baseline="0"/>
                  <a:t> rate</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589007"/>
        <c:crosses val="max"/>
        <c:crossBetween val="midCat"/>
        <c:majorUnit val="5.000000000000001E-2"/>
      </c:valAx>
      <c:valAx>
        <c:axId val="434589007"/>
        <c:scaling>
          <c:orientation val="minMax"/>
        </c:scaling>
        <c:delete val="1"/>
        <c:axPos val="t"/>
        <c:majorTickMark val="out"/>
        <c:minorTickMark val="none"/>
        <c:tickLblPos val="nextTo"/>
        <c:crossAx val="434583599"/>
        <c:crosses val="max"/>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2CA68-C19C-4DEA-B0A1-557F6A962746}">
  <ds:schemaRefs>
    <ds:schemaRef ds:uri="http://purl.org/dc/dcmitype/"/>
    <ds:schemaRef ds:uri="http://schemas.microsoft.com/office/infopath/2007/PartnerControls"/>
    <ds:schemaRef ds:uri="http://purl.org/dc/elements/1.1/"/>
    <ds:schemaRef ds:uri="http://schemas.microsoft.com/office/2006/documentManagement/types"/>
    <ds:schemaRef ds:uri="3482b747-53f4-4157-b700-49f8c7a2d410"/>
    <ds:schemaRef ds:uri="http://purl.org/dc/terms/"/>
    <ds:schemaRef ds:uri="http://schemas.openxmlformats.org/package/2006/metadata/core-properties"/>
    <ds:schemaRef ds:uri="ce30a8b6-690b-4fb4-bb74-d8f0ee2e93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4.xml><?xml version="1.0" encoding="utf-8"?>
<ds:datastoreItem xmlns:ds="http://schemas.openxmlformats.org/officeDocument/2006/customXml" ds:itemID="{997028B0-38CA-48CA-AF9D-6DB29833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Peter Tilston</cp:lastModifiedBy>
  <cp:revision>5</cp:revision>
  <cp:lastPrinted>2022-06-14T15:37:00Z</cp:lastPrinted>
  <dcterms:created xsi:type="dcterms:W3CDTF">2022-06-14T15:44:00Z</dcterms:created>
  <dcterms:modified xsi:type="dcterms:W3CDTF">2022-06-15T09:55:00Z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